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4C25" w14:textId="49B6A9D9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0D5B74">
        <w:t>AC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964"/>
        <w:gridCol w:w="2907"/>
      </w:tblGrid>
      <w:tr w:rsidR="007D7BDE" w:rsidRPr="00556197" w14:paraId="1C2E1737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2C417ADF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7DB7B20B" w14:textId="77777777" w:rsidTr="2C417ADF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74FFC03C" w:rsidR="007D7BDE" w:rsidRPr="00A46E7B" w:rsidRDefault="00A46E7B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A46E7B">
              <w:rPr>
                <w:rFonts w:ascii="Arial" w:hAnsi="Arial" w:cs="Arial"/>
                <w:b/>
                <w:bCs/>
              </w:rPr>
              <w:t>2024-07-</w:t>
            </w:r>
            <w:r w:rsidR="005267A3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7090B2AB" w:rsidR="007D7BDE" w:rsidRPr="00A46E7B" w:rsidRDefault="00A46E7B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A46E7B">
              <w:rPr>
                <w:rFonts w:ascii="Arial" w:hAnsi="Arial" w:cs="Arial"/>
                <w:b/>
                <w:bCs/>
              </w:rPr>
              <w:t>2024-0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A46E7B">
              <w:rPr>
                <w:rFonts w:ascii="Arial" w:hAnsi="Arial" w:cs="Arial"/>
                <w:b/>
                <w:bCs/>
              </w:rPr>
              <w:t>-</w:t>
            </w:r>
            <w:r w:rsidR="005267A3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7D7BDE" w:rsidRPr="00556197" w14:paraId="0E9E7655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250747C2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>This form shall be filled, signed and returned to Kenya Bureau of Standards for the attention of</w:t>
            </w:r>
            <w:r w:rsidR="00A46E7B">
              <w:rPr>
                <w:rFonts w:ascii="Arial" w:hAnsi="Arial" w:cs="Arial"/>
                <w:b/>
                <w:bCs/>
              </w:rPr>
              <w:t xml:space="preserve"> </w:t>
            </w:r>
            <w:hyperlink r:id="rId10" w:history="1">
              <w:r w:rsidR="00A46E7B" w:rsidRPr="00A46E7B">
                <w:rPr>
                  <w:rStyle w:val="Hyperlink"/>
                  <w:rFonts w:ascii="Arial" w:hAnsi="Arial" w:cs="Arial"/>
                  <w:bCs/>
                </w:rPr>
                <w:t>ndirangum@kebs.org</w:t>
              </w:r>
            </w:hyperlink>
            <w:r w:rsidR="00A46E7B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0066C2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 :…………………………...……………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Name and (of respondent)………………………………………………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4B99056E" w14:textId="77777777" w:rsidR="007D7BDE" w:rsidRDefault="007D7BDE" w:rsidP="007D7BDE">
      <w:pPr>
        <w:rPr>
          <w:rFonts w:ascii="Verdana" w:hAnsi="Verdana"/>
          <w:color w:val="000000"/>
          <w:sz w:val="16"/>
          <w:szCs w:val="16"/>
        </w:rPr>
      </w:pPr>
    </w:p>
    <w:p w14:paraId="346B98A1" w14:textId="7D1F50FD" w:rsidR="00421B7E" w:rsidRDefault="00421B7E" w:rsidP="007D7BDE">
      <w:pPr>
        <w:rPr>
          <w:rFonts w:ascii="Arial" w:hAnsi="Arial" w:cs="Arial"/>
          <w:b/>
          <w:bCs/>
          <w:color w:val="000000"/>
        </w:rPr>
      </w:pPr>
      <w:r w:rsidRPr="00421B7E">
        <w:rPr>
          <w:rFonts w:ascii="Arial" w:hAnsi="Arial" w:cs="Arial"/>
          <w:b/>
          <w:bCs/>
          <w:color w:val="000000"/>
        </w:rPr>
        <w:lastRenderedPageBreak/>
        <w:t>LIST OF STANDARDS FOR SYSTEMATIC REVIEW</w:t>
      </w:r>
    </w:p>
    <w:p w14:paraId="625D6971" w14:textId="77777777" w:rsidR="00421B7E" w:rsidRDefault="00421B7E" w:rsidP="007D7BDE">
      <w:pPr>
        <w:rPr>
          <w:rFonts w:ascii="Arial" w:hAnsi="Arial" w:cs="Arial"/>
          <w:b/>
          <w:bCs/>
          <w:color w:val="000000"/>
        </w:rPr>
      </w:pPr>
    </w:p>
    <w:p w14:paraId="6C4D55D0" w14:textId="77777777" w:rsidR="00421B7E" w:rsidRDefault="00421B7E" w:rsidP="007D7BDE">
      <w:pPr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4872" w:type="pct"/>
        <w:tblInd w:w="-147" w:type="dxa"/>
        <w:tblLook w:val="04A0" w:firstRow="1" w:lastRow="0" w:firstColumn="1" w:lastColumn="0" w:noHBand="0" w:noVBand="1"/>
      </w:tblPr>
      <w:tblGrid>
        <w:gridCol w:w="796"/>
        <w:gridCol w:w="7992"/>
      </w:tblGrid>
      <w:tr w:rsidR="000A5E6F" w14:paraId="6748A53A" w14:textId="27FFE6F6" w:rsidTr="00F93BA9">
        <w:trPr>
          <w:trHeight w:val="581"/>
        </w:trPr>
        <w:tc>
          <w:tcPr>
            <w:tcW w:w="453" w:type="pct"/>
          </w:tcPr>
          <w:p w14:paraId="5F539DEC" w14:textId="252721F9" w:rsidR="000A5E6F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S.</w:t>
            </w:r>
            <w:r w:rsidR="00DC3A12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</w:p>
        </w:tc>
        <w:tc>
          <w:tcPr>
            <w:tcW w:w="4547" w:type="pct"/>
          </w:tcPr>
          <w:p w14:paraId="7F5B2934" w14:textId="7054E393" w:rsidR="000A5E6F" w:rsidRPr="007205F2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Title</w:t>
            </w:r>
          </w:p>
        </w:tc>
      </w:tr>
      <w:tr w:rsidR="000A5E6F" w14:paraId="4612D66A" w14:textId="52CCEA2B" w:rsidTr="00F93BA9">
        <w:trPr>
          <w:trHeight w:val="581"/>
        </w:trPr>
        <w:tc>
          <w:tcPr>
            <w:tcW w:w="453" w:type="pct"/>
          </w:tcPr>
          <w:p w14:paraId="176C417F" w14:textId="18F7ED45" w:rsidR="000A5E6F" w:rsidRPr="004D4770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547" w:type="pct"/>
          </w:tcPr>
          <w:p w14:paraId="1B4D4090" w14:textId="0EE034A3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013F70">
              <w:rPr>
                <w:rFonts w:ascii="Arial" w:hAnsi="Arial" w:cs="Arial"/>
                <w:color w:val="000000"/>
              </w:rPr>
              <w:t>KS ISO 20613:2019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Sensory analysis — General guidance for the application of sensory analysis in quality control</w:t>
            </w:r>
          </w:p>
        </w:tc>
      </w:tr>
      <w:tr w:rsidR="000A5E6F" w14:paraId="609B8897" w14:textId="662C5D22" w:rsidTr="00F93BA9">
        <w:trPr>
          <w:trHeight w:val="668"/>
        </w:trPr>
        <w:tc>
          <w:tcPr>
            <w:tcW w:w="453" w:type="pct"/>
          </w:tcPr>
          <w:p w14:paraId="5C40C416" w14:textId="599DAF20" w:rsidR="000A5E6F" w:rsidRPr="004D4770" w:rsidRDefault="000A5E6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547" w:type="pct"/>
          </w:tcPr>
          <w:p w14:paraId="5111E4CB" w14:textId="4ECDDA67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616266">
              <w:rPr>
                <w:rFonts w:ascii="Arial" w:hAnsi="Arial" w:cs="Arial"/>
                <w:color w:val="000000"/>
              </w:rPr>
              <w:t>KS ISO 16820:2019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 xml:space="preserve">Kenya Standard — Sensory analysis — Methodology — Sequential analysis, </w:t>
            </w:r>
          </w:p>
        </w:tc>
      </w:tr>
      <w:tr w:rsidR="000A5E6F" w14:paraId="210CB07A" w14:textId="44A804A6" w:rsidTr="00F93BA9">
        <w:trPr>
          <w:trHeight w:val="556"/>
        </w:trPr>
        <w:tc>
          <w:tcPr>
            <w:tcW w:w="453" w:type="pct"/>
          </w:tcPr>
          <w:p w14:paraId="55B017C5" w14:textId="4A304AF1" w:rsidR="000A5E6F" w:rsidRPr="00F76ED8" w:rsidRDefault="007D5AB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A5E6F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4547" w:type="pct"/>
          </w:tcPr>
          <w:p w14:paraId="37505D01" w14:textId="2AB989F5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3C63C4">
              <w:rPr>
                <w:rFonts w:ascii="Arial" w:hAnsi="Arial" w:cs="Arial"/>
                <w:color w:val="000000"/>
              </w:rPr>
              <w:t>KS ISO 8587:2006 Amd 1:2013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Sensory analysis — Methodology — Ranking, AMENDMENT 1</w:t>
            </w:r>
          </w:p>
        </w:tc>
      </w:tr>
      <w:tr w:rsidR="000A5E6F" w14:paraId="12B8F784" w14:textId="636C7AA4" w:rsidTr="00F93BA9">
        <w:trPr>
          <w:trHeight w:val="558"/>
        </w:trPr>
        <w:tc>
          <w:tcPr>
            <w:tcW w:w="453" w:type="pct"/>
          </w:tcPr>
          <w:p w14:paraId="13318866" w14:textId="5BEDD094" w:rsidR="000A5E6F" w:rsidRPr="00F76ED8" w:rsidRDefault="007D5AB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0A5E6F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4547" w:type="pct"/>
          </w:tcPr>
          <w:p w14:paraId="6DA160EF" w14:textId="2B809CFC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7773BD">
              <w:rPr>
                <w:rFonts w:ascii="Arial" w:hAnsi="Arial" w:cs="Arial"/>
                <w:color w:val="000000"/>
              </w:rPr>
              <w:t>KS ISO 8589:2007 Amd 1:2014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Sensory analysis — General guidance for the design of test rooms</w:t>
            </w:r>
          </w:p>
        </w:tc>
      </w:tr>
      <w:tr w:rsidR="000A5E6F" w14:paraId="514CF547" w14:textId="5DA3AF8C" w:rsidTr="00F93BA9">
        <w:trPr>
          <w:trHeight w:val="698"/>
        </w:trPr>
        <w:tc>
          <w:tcPr>
            <w:tcW w:w="453" w:type="pct"/>
          </w:tcPr>
          <w:p w14:paraId="71400B23" w14:textId="1BB9B544" w:rsidR="000A5E6F" w:rsidRPr="00F76ED8" w:rsidRDefault="007D5AB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0A5E6F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4547" w:type="pct"/>
          </w:tcPr>
          <w:p w14:paraId="5348058E" w14:textId="65C37597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7773BD">
              <w:rPr>
                <w:rFonts w:ascii="Arial" w:hAnsi="Arial" w:cs="Arial"/>
                <w:color w:val="000000"/>
              </w:rPr>
              <w:t>KS ISO 5495:20</w:t>
            </w:r>
            <w:r w:rsidR="006D2F01">
              <w:rPr>
                <w:rFonts w:ascii="Arial" w:hAnsi="Arial" w:cs="Arial"/>
                <w:color w:val="000000"/>
              </w:rPr>
              <w:t>05</w:t>
            </w:r>
            <w:r w:rsidRPr="007773BD">
              <w:rPr>
                <w:rFonts w:ascii="Arial" w:hAnsi="Arial" w:cs="Arial"/>
                <w:color w:val="000000"/>
              </w:rPr>
              <w:t xml:space="preserve"> Amd 1:20</w:t>
            </w:r>
            <w:r w:rsidR="006D2F01">
              <w:rPr>
                <w:rFonts w:ascii="Arial" w:hAnsi="Arial" w:cs="Arial"/>
                <w:color w:val="000000"/>
              </w:rPr>
              <w:t>16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Kenya Standard — Sensory analysis — Methodology — Paired comparison test, AMENDMENT 1</w:t>
            </w:r>
          </w:p>
        </w:tc>
      </w:tr>
      <w:tr w:rsidR="000A5E6F" w14:paraId="73A8A161" w14:textId="566A4C6B" w:rsidTr="00F93BA9">
        <w:trPr>
          <w:trHeight w:val="585"/>
        </w:trPr>
        <w:tc>
          <w:tcPr>
            <w:tcW w:w="453" w:type="pct"/>
          </w:tcPr>
          <w:p w14:paraId="4853B723" w14:textId="443C3568" w:rsidR="000A5E6F" w:rsidRPr="00F76ED8" w:rsidRDefault="007D5ABF" w:rsidP="007D7B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0A5E6F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4547" w:type="pct"/>
          </w:tcPr>
          <w:p w14:paraId="41BFBC53" w14:textId="126E252B" w:rsidR="000A5E6F" w:rsidRPr="00616266" w:rsidRDefault="000A5E6F" w:rsidP="007D7BDE">
            <w:pPr>
              <w:rPr>
                <w:rFonts w:ascii="Arial" w:hAnsi="Arial" w:cs="Arial"/>
                <w:color w:val="000000"/>
              </w:rPr>
            </w:pPr>
            <w:r w:rsidRPr="007773BD">
              <w:rPr>
                <w:rFonts w:ascii="Arial" w:hAnsi="Arial" w:cs="Arial"/>
                <w:color w:val="000000"/>
              </w:rPr>
              <w:t>KS ISO 29842:2011 Amd 1:2015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16266">
              <w:rPr>
                <w:rFonts w:ascii="Arial" w:hAnsi="Arial" w:cs="Arial"/>
                <w:color w:val="000000"/>
              </w:rPr>
              <w:t>Methodology — Balanced incomplete block designs</w:t>
            </w:r>
          </w:p>
        </w:tc>
      </w:tr>
    </w:tbl>
    <w:p w14:paraId="3EB57546" w14:textId="77777777" w:rsidR="00421B7E" w:rsidRPr="00421B7E" w:rsidRDefault="00421B7E" w:rsidP="007D7BDE">
      <w:pPr>
        <w:rPr>
          <w:rFonts w:ascii="Arial" w:hAnsi="Arial" w:cs="Arial"/>
          <w:b/>
          <w:bCs/>
          <w:color w:val="000000"/>
        </w:rPr>
      </w:pPr>
    </w:p>
    <w:sectPr w:rsidR="00421B7E" w:rsidRPr="00421B7E" w:rsidSect="009D2A1A">
      <w:headerReference w:type="default" r:id="rId11"/>
      <w:footerReference w:type="defaul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0026" w14:textId="77777777" w:rsidR="00CF25A5" w:rsidRDefault="00CF25A5" w:rsidP="007D7BDE">
      <w:r>
        <w:separator/>
      </w:r>
    </w:p>
  </w:endnote>
  <w:endnote w:type="continuationSeparator" w:id="0">
    <w:p w14:paraId="1C2F8C0E" w14:textId="77777777" w:rsidR="00CF25A5" w:rsidRDefault="00CF25A5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9DE0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8B6F" w14:textId="3A9FB5BD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0D5B74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0D5B74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C59B" w14:textId="77777777" w:rsidR="00CF25A5" w:rsidRDefault="00CF25A5" w:rsidP="007D7BDE">
      <w:r>
        <w:separator/>
      </w:r>
    </w:p>
  </w:footnote>
  <w:footnote w:type="continuationSeparator" w:id="0">
    <w:p w14:paraId="26A50EF9" w14:textId="77777777" w:rsidR="00CF25A5" w:rsidRDefault="00CF25A5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7D7BDE" w:rsidRPr="008F5151" w:rsidRDefault="007D7BDE" w:rsidP="008F5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64376993">
    <w:abstractNumId w:val="1"/>
  </w:num>
  <w:num w:numId="2" w16cid:durableId="844052094">
    <w:abstractNumId w:val="0"/>
  </w:num>
  <w:num w:numId="3" w16cid:durableId="77676910">
    <w:abstractNumId w:val="3"/>
  </w:num>
  <w:num w:numId="4" w16cid:durableId="18116573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13F70"/>
    <w:rsid w:val="000250FB"/>
    <w:rsid w:val="0003199D"/>
    <w:rsid w:val="00041973"/>
    <w:rsid w:val="00043F37"/>
    <w:rsid w:val="0006735A"/>
    <w:rsid w:val="00074575"/>
    <w:rsid w:val="000A35DF"/>
    <w:rsid w:val="000A5E6F"/>
    <w:rsid w:val="000A5E80"/>
    <w:rsid w:val="000C4E32"/>
    <w:rsid w:val="000D5B74"/>
    <w:rsid w:val="00103C02"/>
    <w:rsid w:val="00120100"/>
    <w:rsid w:val="00146B64"/>
    <w:rsid w:val="00154D57"/>
    <w:rsid w:val="00161F8F"/>
    <w:rsid w:val="00170AC2"/>
    <w:rsid w:val="001A4279"/>
    <w:rsid w:val="001D112C"/>
    <w:rsid w:val="00207C98"/>
    <w:rsid w:val="002236B8"/>
    <w:rsid w:val="00226FF2"/>
    <w:rsid w:val="00241E4B"/>
    <w:rsid w:val="00242755"/>
    <w:rsid w:val="00282D9D"/>
    <w:rsid w:val="0029290A"/>
    <w:rsid w:val="002C1344"/>
    <w:rsid w:val="002E03CE"/>
    <w:rsid w:val="002E12DF"/>
    <w:rsid w:val="002E26EA"/>
    <w:rsid w:val="002E3F7C"/>
    <w:rsid w:val="00342259"/>
    <w:rsid w:val="00350BFA"/>
    <w:rsid w:val="0037216D"/>
    <w:rsid w:val="0039267C"/>
    <w:rsid w:val="003A2DFD"/>
    <w:rsid w:val="003C4A6C"/>
    <w:rsid w:val="003C63C4"/>
    <w:rsid w:val="003F2C4E"/>
    <w:rsid w:val="00402707"/>
    <w:rsid w:val="00421B7E"/>
    <w:rsid w:val="00443641"/>
    <w:rsid w:val="00452734"/>
    <w:rsid w:val="004D4770"/>
    <w:rsid w:val="00506AFA"/>
    <w:rsid w:val="005267A3"/>
    <w:rsid w:val="005710AB"/>
    <w:rsid w:val="00583944"/>
    <w:rsid w:val="005965CF"/>
    <w:rsid w:val="005B3CD8"/>
    <w:rsid w:val="005D3E09"/>
    <w:rsid w:val="005E2F92"/>
    <w:rsid w:val="0060087E"/>
    <w:rsid w:val="00616266"/>
    <w:rsid w:val="00680852"/>
    <w:rsid w:val="006A0876"/>
    <w:rsid w:val="006B5C7A"/>
    <w:rsid w:val="006B6DBE"/>
    <w:rsid w:val="006D2F01"/>
    <w:rsid w:val="00703562"/>
    <w:rsid w:val="00703CB1"/>
    <w:rsid w:val="00710322"/>
    <w:rsid w:val="0071734B"/>
    <w:rsid w:val="007205F2"/>
    <w:rsid w:val="007244A4"/>
    <w:rsid w:val="0073321F"/>
    <w:rsid w:val="007505E1"/>
    <w:rsid w:val="00756E07"/>
    <w:rsid w:val="00766B20"/>
    <w:rsid w:val="007773BD"/>
    <w:rsid w:val="007D5546"/>
    <w:rsid w:val="007D5ABF"/>
    <w:rsid w:val="007D7BDE"/>
    <w:rsid w:val="00807A34"/>
    <w:rsid w:val="00810E69"/>
    <w:rsid w:val="008572A5"/>
    <w:rsid w:val="00877DFF"/>
    <w:rsid w:val="00893D7E"/>
    <w:rsid w:val="008B3FDD"/>
    <w:rsid w:val="00A15AB7"/>
    <w:rsid w:val="00A46E7B"/>
    <w:rsid w:val="00A71EA3"/>
    <w:rsid w:val="00A87B44"/>
    <w:rsid w:val="00A95CAC"/>
    <w:rsid w:val="00AB16F3"/>
    <w:rsid w:val="00B04B5B"/>
    <w:rsid w:val="00B073BA"/>
    <w:rsid w:val="00BA0183"/>
    <w:rsid w:val="00BB0080"/>
    <w:rsid w:val="00BF6EDE"/>
    <w:rsid w:val="00C23675"/>
    <w:rsid w:val="00C734AC"/>
    <w:rsid w:val="00C85EE8"/>
    <w:rsid w:val="00CB7E41"/>
    <w:rsid w:val="00CF25A5"/>
    <w:rsid w:val="00D711C5"/>
    <w:rsid w:val="00DB7567"/>
    <w:rsid w:val="00DB7B96"/>
    <w:rsid w:val="00DC3A12"/>
    <w:rsid w:val="00DC7D31"/>
    <w:rsid w:val="00DE4B09"/>
    <w:rsid w:val="00E00478"/>
    <w:rsid w:val="00E1291B"/>
    <w:rsid w:val="00E41A20"/>
    <w:rsid w:val="00E67378"/>
    <w:rsid w:val="00EB7875"/>
    <w:rsid w:val="00EF7104"/>
    <w:rsid w:val="00F701C2"/>
    <w:rsid w:val="00F76ED8"/>
    <w:rsid w:val="00F82EE3"/>
    <w:rsid w:val="00F87FFB"/>
    <w:rsid w:val="00F93BA9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6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C:\Users\ndirangum\Downloads\ndirangum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5AB7E-EE04-4C35-B20A-3D6FA88AEC88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813A61FF-062B-4F17-BAE9-A4CAB2CD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Mercy Nyambura Ndirangu</cp:lastModifiedBy>
  <cp:revision>34</cp:revision>
  <dcterms:created xsi:type="dcterms:W3CDTF">2024-07-17T11:26:00Z</dcterms:created>
  <dcterms:modified xsi:type="dcterms:W3CDTF">2024-07-25T07:21:00Z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