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64"/>
        <w:gridCol w:w="2907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74FFC03C" w:rsidR="007D7BDE" w:rsidRPr="00A46E7B" w:rsidRDefault="00A46E7B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A46E7B">
              <w:rPr>
                <w:rFonts w:ascii="Arial" w:hAnsi="Arial" w:cs="Arial"/>
                <w:b/>
                <w:bCs/>
              </w:rPr>
              <w:t>2024-07-</w:t>
            </w:r>
            <w:r w:rsidR="005267A3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7090B2AB" w:rsidR="007D7BDE" w:rsidRPr="00A46E7B" w:rsidRDefault="00A46E7B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A46E7B">
              <w:rPr>
                <w:rFonts w:ascii="Arial" w:hAnsi="Arial" w:cs="Arial"/>
                <w:b/>
                <w:bCs/>
              </w:rPr>
              <w:t>2024-0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A46E7B">
              <w:rPr>
                <w:rFonts w:ascii="Arial" w:hAnsi="Arial" w:cs="Arial"/>
                <w:b/>
                <w:bCs/>
              </w:rPr>
              <w:t>-</w:t>
            </w:r>
            <w:r w:rsidR="005267A3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250747C2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This form shall be filled, signed and returned to Kenya Bureau of Standards for the attention of</w:t>
            </w:r>
            <w:r w:rsidR="00A46E7B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="00A46E7B" w:rsidRPr="00A46E7B">
                <w:rPr>
                  <w:rStyle w:val="Hyperlink"/>
                  <w:rFonts w:ascii="Arial" w:hAnsi="Arial" w:cs="Arial"/>
                  <w:bCs/>
                </w:rPr>
                <w:t>ndirangum@kebs.org</w:t>
              </w:r>
            </w:hyperlink>
            <w:r w:rsidR="00A46E7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p w14:paraId="346B98A1" w14:textId="7D1F50FD" w:rsidR="00421B7E" w:rsidRDefault="00421B7E" w:rsidP="007D7BDE">
      <w:pPr>
        <w:rPr>
          <w:rFonts w:ascii="Arial" w:hAnsi="Arial" w:cs="Arial"/>
          <w:b/>
          <w:bCs/>
          <w:color w:val="000000"/>
        </w:rPr>
      </w:pPr>
      <w:r w:rsidRPr="00421B7E">
        <w:rPr>
          <w:rFonts w:ascii="Arial" w:hAnsi="Arial" w:cs="Arial"/>
          <w:b/>
          <w:bCs/>
          <w:color w:val="000000"/>
        </w:rPr>
        <w:lastRenderedPageBreak/>
        <w:t>LIST OF STANDARDS FOR SYSTEMATIC REVIEW</w:t>
      </w:r>
    </w:p>
    <w:p w14:paraId="625D6971" w14:textId="77777777" w:rsidR="00421B7E" w:rsidRDefault="00421B7E" w:rsidP="007D7BDE">
      <w:pPr>
        <w:rPr>
          <w:rFonts w:ascii="Arial" w:hAnsi="Arial" w:cs="Arial"/>
          <w:b/>
          <w:bCs/>
          <w:color w:val="000000"/>
        </w:rPr>
      </w:pPr>
    </w:p>
    <w:p w14:paraId="6C4D55D0" w14:textId="77777777" w:rsidR="00421B7E" w:rsidRDefault="00421B7E" w:rsidP="007D7BDE">
      <w:pPr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4872" w:type="pct"/>
        <w:tblInd w:w="-147" w:type="dxa"/>
        <w:tblLook w:val="04A0" w:firstRow="1" w:lastRow="0" w:firstColumn="1" w:lastColumn="0" w:noHBand="0" w:noVBand="1"/>
      </w:tblPr>
      <w:tblGrid>
        <w:gridCol w:w="796"/>
        <w:gridCol w:w="7992"/>
      </w:tblGrid>
      <w:tr w:rsidR="000A5E6F" w14:paraId="6748A53A" w14:textId="27FFE6F6" w:rsidTr="00F93BA9">
        <w:trPr>
          <w:trHeight w:val="581"/>
        </w:trPr>
        <w:tc>
          <w:tcPr>
            <w:tcW w:w="453" w:type="pct"/>
          </w:tcPr>
          <w:p w14:paraId="5F539DEC" w14:textId="252721F9" w:rsidR="000A5E6F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S.</w:t>
            </w:r>
            <w:r w:rsidR="00DC3A12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4547" w:type="pct"/>
          </w:tcPr>
          <w:p w14:paraId="7F5B2934" w14:textId="7054E393" w:rsidR="000A5E6F" w:rsidRPr="007205F2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</w:t>
            </w:r>
          </w:p>
        </w:tc>
      </w:tr>
      <w:tr w:rsidR="000A5E6F" w14:paraId="4612D66A" w14:textId="52CCEA2B" w:rsidTr="00F93BA9">
        <w:trPr>
          <w:trHeight w:val="581"/>
        </w:trPr>
        <w:tc>
          <w:tcPr>
            <w:tcW w:w="453" w:type="pct"/>
          </w:tcPr>
          <w:p w14:paraId="176C417F" w14:textId="18F7ED45" w:rsidR="000A5E6F" w:rsidRPr="004D4770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547" w:type="pct"/>
          </w:tcPr>
          <w:p w14:paraId="1B4D4090" w14:textId="0EE034A3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013F70">
              <w:rPr>
                <w:rFonts w:ascii="Arial" w:hAnsi="Arial" w:cs="Arial"/>
                <w:color w:val="000000"/>
              </w:rPr>
              <w:t>KS ISO 20613:2019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General guidance for the application of sensory analysis in quality control</w:t>
            </w:r>
          </w:p>
        </w:tc>
      </w:tr>
      <w:tr w:rsidR="000A5E6F" w14:paraId="609B8897" w14:textId="662C5D22" w:rsidTr="00F93BA9">
        <w:trPr>
          <w:trHeight w:val="668"/>
        </w:trPr>
        <w:tc>
          <w:tcPr>
            <w:tcW w:w="453" w:type="pct"/>
          </w:tcPr>
          <w:p w14:paraId="5C40C416" w14:textId="599DAF20" w:rsidR="000A5E6F" w:rsidRPr="004D4770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547" w:type="pct"/>
          </w:tcPr>
          <w:p w14:paraId="5111E4CB" w14:textId="4ECDDA67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616266">
              <w:rPr>
                <w:rFonts w:ascii="Arial" w:hAnsi="Arial" w:cs="Arial"/>
                <w:color w:val="000000"/>
              </w:rPr>
              <w:t>KS ISO 16820:2019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 xml:space="preserve">Kenya Standard — Sensory analysis — Methodology — Sequential analysis, </w:t>
            </w:r>
          </w:p>
        </w:tc>
      </w:tr>
      <w:tr w:rsidR="000A5E6F" w14:paraId="7066A53E" w14:textId="27B0AB1D" w:rsidTr="00F93BA9">
        <w:trPr>
          <w:trHeight w:val="632"/>
        </w:trPr>
        <w:tc>
          <w:tcPr>
            <w:tcW w:w="453" w:type="pct"/>
          </w:tcPr>
          <w:p w14:paraId="7101D18C" w14:textId="097C9BDE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547" w:type="pct"/>
          </w:tcPr>
          <w:p w14:paraId="4E38E81A" w14:textId="3308043A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3C63C4">
              <w:rPr>
                <w:rFonts w:ascii="Arial" w:hAnsi="Arial" w:cs="Arial"/>
                <w:color w:val="000000"/>
              </w:rPr>
              <w:t>KS ISO 11056:1999 Amd 1:2013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Kenya Standard — Sensory analysis — Methodology — Magnitude estimation method, AMENDMENT 1</w:t>
            </w:r>
          </w:p>
        </w:tc>
      </w:tr>
      <w:tr w:rsidR="000A5E6F" w14:paraId="210CB07A" w14:textId="44A804A6" w:rsidTr="00F93BA9">
        <w:trPr>
          <w:trHeight w:val="556"/>
        </w:trPr>
        <w:tc>
          <w:tcPr>
            <w:tcW w:w="453" w:type="pct"/>
          </w:tcPr>
          <w:p w14:paraId="55B017C5" w14:textId="615B4501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4547" w:type="pct"/>
          </w:tcPr>
          <w:p w14:paraId="37505D01" w14:textId="2AB989F5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3C63C4">
              <w:rPr>
                <w:rFonts w:ascii="Arial" w:hAnsi="Arial" w:cs="Arial"/>
                <w:color w:val="000000"/>
              </w:rPr>
              <w:t>KS ISO 8587:2006 Amd 1:2013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Methodology — Ranking, AMENDMENT 1</w:t>
            </w:r>
          </w:p>
        </w:tc>
      </w:tr>
      <w:tr w:rsidR="000A5E6F" w14:paraId="00FD1CE2" w14:textId="2671D1AA" w:rsidTr="00F93BA9">
        <w:trPr>
          <w:trHeight w:val="648"/>
        </w:trPr>
        <w:tc>
          <w:tcPr>
            <w:tcW w:w="453" w:type="pct"/>
          </w:tcPr>
          <w:p w14:paraId="3968501C" w14:textId="2F361236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4547" w:type="pct"/>
          </w:tcPr>
          <w:p w14:paraId="64782262" w14:textId="763A3C28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616266">
              <w:rPr>
                <w:rFonts w:ascii="Arial" w:hAnsi="Arial" w:cs="Arial"/>
                <w:color w:val="000000"/>
              </w:rPr>
              <w:t>KS ISO 8586:2012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General guidelines for the selection, training and monitoring of selected assessors and expert sensory assessors</w:t>
            </w:r>
          </w:p>
        </w:tc>
      </w:tr>
      <w:tr w:rsidR="000A5E6F" w14:paraId="12B8F784" w14:textId="636C7AA4" w:rsidTr="00F93BA9">
        <w:trPr>
          <w:trHeight w:val="558"/>
        </w:trPr>
        <w:tc>
          <w:tcPr>
            <w:tcW w:w="453" w:type="pct"/>
          </w:tcPr>
          <w:p w14:paraId="13318866" w14:textId="784F4866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4547" w:type="pct"/>
          </w:tcPr>
          <w:p w14:paraId="6DA160EF" w14:textId="2B809CFC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8589:2007 Amd 1:2014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General guidance for the design of test rooms</w:t>
            </w:r>
          </w:p>
        </w:tc>
      </w:tr>
      <w:tr w:rsidR="000A5E6F" w14:paraId="514CF547" w14:textId="5DA3AF8C" w:rsidTr="00F93BA9">
        <w:trPr>
          <w:trHeight w:val="698"/>
        </w:trPr>
        <w:tc>
          <w:tcPr>
            <w:tcW w:w="453" w:type="pct"/>
          </w:tcPr>
          <w:p w14:paraId="71400B23" w14:textId="59D4EE2D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4547" w:type="pct"/>
          </w:tcPr>
          <w:p w14:paraId="5348058E" w14:textId="2CB57CCB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5495:2016 Amd 1:2006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Kenya Standard — Sensory analysis — Methodology — Paired comparison test, AMENDMENT 1</w:t>
            </w:r>
          </w:p>
        </w:tc>
      </w:tr>
      <w:tr w:rsidR="000A5E6F" w14:paraId="73A8A161" w14:textId="566A4C6B" w:rsidTr="00F93BA9">
        <w:trPr>
          <w:trHeight w:val="585"/>
        </w:trPr>
        <w:tc>
          <w:tcPr>
            <w:tcW w:w="453" w:type="pct"/>
          </w:tcPr>
          <w:p w14:paraId="4853B723" w14:textId="292B27A7" w:rsidR="000A5E6F" w:rsidRPr="00F76ED8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4547" w:type="pct"/>
          </w:tcPr>
          <w:p w14:paraId="41BFBC53" w14:textId="126E252B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29842:2011 Amd 1:2015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Methodology — Balanced incomplete block designs</w:t>
            </w:r>
          </w:p>
        </w:tc>
      </w:tr>
    </w:tbl>
    <w:p w14:paraId="3EB57546" w14:textId="77777777" w:rsidR="00421B7E" w:rsidRPr="00421B7E" w:rsidRDefault="00421B7E" w:rsidP="007D7BDE">
      <w:pPr>
        <w:rPr>
          <w:rFonts w:ascii="Arial" w:hAnsi="Arial" w:cs="Arial"/>
          <w:b/>
          <w:bCs/>
          <w:color w:val="000000"/>
        </w:rPr>
      </w:pPr>
    </w:p>
    <w:sectPr w:rsidR="00421B7E" w:rsidRPr="00421B7E" w:rsidSect="009D2A1A">
      <w:headerReference w:type="default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8661" w14:textId="77777777" w:rsidR="002C1344" w:rsidRDefault="002C1344" w:rsidP="007D7BDE">
      <w:r>
        <w:separator/>
      </w:r>
    </w:p>
  </w:endnote>
  <w:endnote w:type="continuationSeparator" w:id="0">
    <w:p w14:paraId="36D884B8" w14:textId="77777777" w:rsidR="002C1344" w:rsidRDefault="002C1344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0BAE" w14:textId="77777777" w:rsidR="002C1344" w:rsidRDefault="002C1344" w:rsidP="007D7BDE">
      <w:r>
        <w:separator/>
      </w:r>
    </w:p>
  </w:footnote>
  <w:footnote w:type="continuationSeparator" w:id="0">
    <w:p w14:paraId="77B350B0" w14:textId="77777777" w:rsidR="002C1344" w:rsidRDefault="002C1344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64376993">
    <w:abstractNumId w:val="1"/>
  </w:num>
  <w:num w:numId="2" w16cid:durableId="844052094">
    <w:abstractNumId w:val="0"/>
  </w:num>
  <w:num w:numId="3" w16cid:durableId="77676910">
    <w:abstractNumId w:val="3"/>
  </w:num>
  <w:num w:numId="4" w16cid:durableId="18116573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13F70"/>
    <w:rsid w:val="000250FB"/>
    <w:rsid w:val="0003199D"/>
    <w:rsid w:val="00041973"/>
    <w:rsid w:val="00043F37"/>
    <w:rsid w:val="0006735A"/>
    <w:rsid w:val="00074575"/>
    <w:rsid w:val="000A35DF"/>
    <w:rsid w:val="000A5E6F"/>
    <w:rsid w:val="000A5E80"/>
    <w:rsid w:val="000C4E32"/>
    <w:rsid w:val="000D5B74"/>
    <w:rsid w:val="00103C02"/>
    <w:rsid w:val="00120100"/>
    <w:rsid w:val="00146B64"/>
    <w:rsid w:val="00154D57"/>
    <w:rsid w:val="00161F8F"/>
    <w:rsid w:val="00170AC2"/>
    <w:rsid w:val="001A4279"/>
    <w:rsid w:val="001D112C"/>
    <w:rsid w:val="00207C98"/>
    <w:rsid w:val="002236B8"/>
    <w:rsid w:val="00226FF2"/>
    <w:rsid w:val="00241E4B"/>
    <w:rsid w:val="00242755"/>
    <w:rsid w:val="00282D9D"/>
    <w:rsid w:val="0029290A"/>
    <w:rsid w:val="002C1344"/>
    <w:rsid w:val="002E03CE"/>
    <w:rsid w:val="002E12DF"/>
    <w:rsid w:val="002E26EA"/>
    <w:rsid w:val="002E3F7C"/>
    <w:rsid w:val="00342259"/>
    <w:rsid w:val="00350BFA"/>
    <w:rsid w:val="0037216D"/>
    <w:rsid w:val="0039267C"/>
    <w:rsid w:val="003A2DFD"/>
    <w:rsid w:val="003C4A6C"/>
    <w:rsid w:val="003C63C4"/>
    <w:rsid w:val="003F2C4E"/>
    <w:rsid w:val="00402707"/>
    <w:rsid w:val="00421B7E"/>
    <w:rsid w:val="00443641"/>
    <w:rsid w:val="00452734"/>
    <w:rsid w:val="004D4770"/>
    <w:rsid w:val="00506AFA"/>
    <w:rsid w:val="005267A3"/>
    <w:rsid w:val="005710AB"/>
    <w:rsid w:val="005965CF"/>
    <w:rsid w:val="005B3CD8"/>
    <w:rsid w:val="005D3E09"/>
    <w:rsid w:val="005E2F92"/>
    <w:rsid w:val="0060087E"/>
    <w:rsid w:val="00616266"/>
    <w:rsid w:val="00680852"/>
    <w:rsid w:val="006A0876"/>
    <w:rsid w:val="006B5C7A"/>
    <w:rsid w:val="006B6DBE"/>
    <w:rsid w:val="00703562"/>
    <w:rsid w:val="00703CB1"/>
    <w:rsid w:val="00710322"/>
    <w:rsid w:val="0071734B"/>
    <w:rsid w:val="007205F2"/>
    <w:rsid w:val="007244A4"/>
    <w:rsid w:val="0073321F"/>
    <w:rsid w:val="007505E1"/>
    <w:rsid w:val="00756E07"/>
    <w:rsid w:val="00766B20"/>
    <w:rsid w:val="007773BD"/>
    <w:rsid w:val="007D5546"/>
    <w:rsid w:val="007D7BDE"/>
    <w:rsid w:val="00807A34"/>
    <w:rsid w:val="00810E69"/>
    <w:rsid w:val="008572A5"/>
    <w:rsid w:val="00877DFF"/>
    <w:rsid w:val="00893D7E"/>
    <w:rsid w:val="008B3FDD"/>
    <w:rsid w:val="00A15AB7"/>
    <w:rsid w:val="00A46E7B"/>
    <w:rsid w:val="00A71EA3"/>
    <w:rsid w:val="00A87B44"/>
    <w:rsid w:val="00A95CAC"/>
    <w:rsid w:val="00AB16F3"/>
    <w:rsid w:val="00B04B5B"/>
    <w:rsid w:val="00B073BA"/>
    <w:rsid w:val="00BA0183"/>
    <w:rsid w:val="00BB0080"/>
    <w:rsid w:val="00BF6EDE"/>
    <w:rsid w:val="00C23675"/>
    <w:rsid w:val="00C734AC"/>
    <w:rsid w:val="00CB7E41"/>
    <w:rsid w:val="00D711C5"/>
    <w:rsid w:val="00DB7567"/>
    <w:rsid w:val="00DB7B96"/>
    <w:rsid w:val="00DC3A12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76ED8"/>
    <w:rsid w:val="00F82EE3"/>
    <w:rsid w:val="00F87FFB"/>
    <w:rsid w:val="00F93BA9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ndirangum\Downloads\ndirang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31</cp:revision>
  <dcterms:created xsi:type="dcterms:W3CDTF">2024-07-17T11:26:00Z</dcterms:created>
  <dcterms:modified xsi:type="dcterms:W3CDTF">2024-07-22T06:49:00Z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