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E09D2" w14:textId="77777777" w:rsidR="00A67B18" w:rsidRDefault="00A67B18" w:rsidP="00A67B18">
      <w:pPr>
        <w:pStyle w:val="Heading5"/>
        <w:pBdr>
          <w:bottom w:val="thinThickThinSmallGap" w:sz="24" w:space="1" w:color="00FF00"/>
        </w:pBdr>
        <w:spacing w:before="1800" w:after="0" w:line="240" w:lineRule="auto"/>
        <w:jc w:val="center"/>
        <w:rPr>
          <w:rFonts w:cs="Arial"/>
          <w:bCs/>
          <w:sz w:val="36"/>
        </w:rPr>
      </w:pPr>
      <w:r>
        <w:rPr>
          <w:rFonts w:cs="Arial"/>
          <w:bCs/>
          <w:sz w:val="36"/>
        </w:rPr>
        <w:t>DRAFT EAST AFRICAN STANDARD</w:t>
      </w:r>
    </w:p>
    <w:p w14:paraId="066BB614" w14:textId="6089B2AA" w:rsidR="00A67B18" w:rsidRDefault="00A67B18" w:rsidP="00A67B18">
      <w:pPr>
        <w:pStyle w:val="zzCover"/>
        <w:spacing w:before="600" w:after="4920"/>
        <w:jc w:val="left"/>
        <w:rPr>
          <w:rFonts w:cs="Arial"/>
          <w:bCs/>
          <w:color w:val="auto"/>
          <w:sz w:val="28"/>
          <w:szCs w:val="28"/>
        </w:rPr>
      </w:pPr>
      <w:bookmarkStart w:id="0" w:name="_Hlk34724011"/>
      <w:r w:rsidRPr="003571F0">
        <w:rPr>
          <w:rFonts w:cs="Arial"/>
          <w:bCs/>
          <w:color w:val="auto"/>
          <w:sz w:val="28"/>
          <w:szCs w:val="28"/>
        </w:rPr>
        <w:t xml:space="preserve">Gas cylinders — </w:t>
      </w:r>
      <w:r w:rsidR="00395C87">
        <w:rPr>
          <w:color w:val="auto"/>
          <w:sz w:val="28"/>
          <w:szCs w:val="28"/>
        </w:rPr>
        <w:t xml:space="preserve">Part 1: </w:t>
      </w:r>
      <w:r w:rsidRPr="003571F0">
        <w:rPr>
          <w:rFonts w:cs="Arial"/>
          <w:bCs/>
          <w:color w:val="auto"/>
          <w:sz w:val="28"/>
          <w:szCs w:val="28"/>
        </w:rPr>
        <w:t>Refillable welded low carbon cylinders for liquefied petroleum gas (LPG) exceeding 5-litre water capacity</w:t>
      </w:r>
      <w:r>
        <w:rPr>
          <w:rFonts w:cs="Arial"/>
          <w:bCs/>
          <w:color w:val="auto"/>
          <w:sz w:val="28"/>
          <w:szCs w:val="28"/>
        </w:rPr>
        <w:t xml:space="preserve">.                                                                            </w:t>
      </w:r>
      <w:bookmarkEnd w:id="0"/>
      <w:r w:rsidRPr="00A724C0">
        <w:rPr>
          <w:rFonts w:cs="Arial"/>
          <w:bCs/>
          <w:color w:val="auto"/>
          <w:sz w:val="28"/>
          <w:szCs w:val="28"/>
        </w:rPr>
        <w:t xml:space="preserve">Filling, distribution and retailing of </w:t>
      </w:r>
      <w:r>
        <w:rPr>
          <w:rFonts w:cs="Arial"/>
          <w:bCs/>
          <w:color w:val="auto"/>
          <w:sz w:val="28"/>
          <w:szCs w:val="28"/>
        </w:rPr>
        <w:t>L</w:t>
      </w:r>
      <w:r w:rsidRPr="00A724C0">
        <w:rPr>
          <w:rFonts w:cs="Arial"/>
          <w:bCs/>
          <w:color w:val="auto"/>
          <w:sz w:val="28"/>
          <w:szCs w:val="28"/>
        </w:rPr>
        <w:t xml:space="preserve">iquefied </w:t>
      </w:r>
      <w:r>
        <w:rPr>
          <w:rFonts w:cs="Arial"/>
          <w:bCs/>
          <w:color w:val="auto"/>
          <w:sz w:val="28"/>
          <w:szCs w:val="28"/>
        </w:rPr>
        <w:t>P</w:t>
      </w:r>
      <w:r w:rsidRPr="00A724C0">
        <w:rPr>
          <w:rFonts w:cs="Arial"/>
          <w:bCs/>
          <w:color w:val="auto"/>
          <w:sz w:val="28"/>
          <w:szCs w:val="28"/>
        </w:rPr>
        <w:t xml:space="preserve">etroleum </w:t>
      </w:r>
      <w:r>
        <w:rPr>
          <w:rFonts w:cs="Arial"/>
          <w:bCs/>
          <w:color w:val="auto"/>
          <w:sz w:val="28"/>
          <w:szCs w:val="28"/>
        </w:rPr>
        <w:t>G</w:t>
      </w:r>
      <w:r w:rsidRPr="00A724C0">
        <w:rPr>
          <w:rFonts w:cs="Arial"/>
          <w:bCs/>
          <w:color w:val="auto"/>
          <w:sz w:val="28"/>
          <w:szCs w:val="28"/>
        </w:rPr>
        <w:t>as in cylinders</w:t>
      </w:r>
      <w:r>
        <w:rPr>
          <w:rFonts w:cs="Arial"/>
          <w:bCs/>
          <w:color w:val="auto"/>
          <w:sz w:val="28"/>
          <w:szCs w:val="28"/>
        </w:rPr>
        <w:t xml:space="preserve"> - Code of practice                              </w:t>
      </w:r>
    </w:p>
    <w:p w14:paraId="6D34C93F" w14:textId="77777777" w:rsidR="00A67B18" w:rsidRDefault="00A67B18" w:rsidP="00A67B18">
      <w:pPr>
        <w:pStyle w:val="zzCover"/>
        <w:spacing w:before="600" w:after="4920"/>
        <w:jc w:val="left"/>
        <w:rPr>
          <w:rFonts w:cs="Arial"/>
          <w:bCs/>
          <w:color w:val="auto"/>
          <w:sz w:val="28"/>
          <w:szCs w:val="28"/>
        </w:rPr>
      </w:pPr>
      <w:r>
        <w:rPr>
          <w:rFonts w:cs="Arial"/>
          <w:bCs/>
          <w:color w:val="auto"/>
          <w:sz w:val="28"/>
          <w:szCs w:val="28"/>
        </w:rPr>
        <w:t xml:space="preserve">                                        </w:t>
      </w:r>
    </w:p>
    <w:p w14:paraId="1D1967A1" w14:textId="77777777" w:rsidR="00A67B18" w:rsidRPr="003571F0" w:rsidRDefault="00A67B18" w:rsidP="00A67B18">
      <w:pPr>
        <w:pStyle w:val="zzCover"/>
        <w:spacing w:before="600" w:after="4920"/>
        <w:jc w:val="left"/>
        <w:rPr>
          <w:rFonts w:cs="Arial"/>
          <w:bCs/>
          <w:color w:val="auto"/>
          <w:sz w:val="28"/>
          <w:szCs w:val="28"/>
        </w:rPr>
      </w:pPr>
    </w:p>
    <w:p w14:paraId="72A95B22" w14:textId="77777777" w:rsidR="00A67B18" w:rsidRDefault="00A67B18" w:rsidP="00A67B18">
      <w:pPr>
        <w:pStyle w:val="Heading7"/>
        <w:pBdr>
          <w:bottom w:val="thinThickThinSmallGap" w:sz="24" w:space="1" w:color="00FF00"/>
        </w:pBdr>
        <w:spacing w:before="100" w:beforeAutospacing="1" w:line="240" w:lineRule="auto"/>
        <w:jc w:val="center"/>
        <w:rPr>
          <w:sz w:val="32"/>
        </w:rPr>
      </w:pPr>
      <w:r>
        <w:rPr>
          <w:sz w:val="32"/>
        </w:rPr>
        <w:t>EAST AFRICAN COMMUNITY</w:t>
      </w:r>
    </w:p>
    <w:p w14:paraId="661A2AC6" w14:textId="77777777" w:rsidR="00A67B18" w:rsidRDefault="00A67B18" w:rsidP="00A67B18">
      <w:pPr>
        <w:rPr>
          <w:b/>
          <w:sz w:val="32"/>
        </w:rPr>
      </w:pPr>
    </w:p>
    <w:p w14:paraId="14E7DED9" w14:textId="77777777" w:rsidR="00A67B18" w:rsidRPr="006A71F1" w:rsidRDefault="00A67B18" w:rsidP="00A67B18">
      <w:pPr>
        <w:sectPr w:rsidR="00A67B18" w:rsidRPr="006A71F1" w:rsidSect="00A67B18">
          <w:headerReference w:type="even" r:id="rId7"/>
          <w:headerReference w:type="default" r:id="rId8"/>
          <w:footerReference w:type="even" r:id="rId9"/>
          <w:footerReference w:type="default" r:id="rId10"/>
          <w:headerReference w:type="first" r:id="rId11"/>
          <w:footerReference w:type="first" r:id="rId12"/>
          <w:pgSz w:w="11906" w:h="16838" w:code="9"/>
          <w:pgMar w:top="850" w:right="734" w:bottom="1080" w:left="850" w:header="706" w:footer="908" w:gutter="562"/>
          <w:pgNumType w:fmt="lowerRoman" w:start="2"/>
          <w:cols w:space="720"/>
          <w:titlePg/>
        </w:sectPr>
      </w:pPr>
    </w:p>
    <w:p w14:paraId="1E5CFA69" w14:textId="77777777" w:rsidR="00A67B18" w:rsidRPr="00493487" w:rsidRDefault="00A67B18" w:rsidP="00A67B18">
      <w:pPr>
        <w:pStyle w:val="zzCopyright"/>
        <w:jc w:val="center"/>
        <w:rPr>
          <w:b/>
          <w:bCs/>
          <w:color w:val="auto"/>
          <w:sz w:val="24"/>
          <w:szCs w:val="24"/>
        </w:rPr>
      </w:pPr>
      <w:r w:rsidRPr="00493487">
        <w:rPr>
          <w:b/>
          <w:bCs/>
          <w:color w:val="auto"/>
          <w:sz w:val="24"/>
          <w:szCs w:val="24"/>
        </w:rPr>
        <w:lastRenderedPageBreak/>
        <w:t>Copyright notice</w:t>
      </w:r>
    </w:p>
    <w:p w14:paraId="6FFF3DDF" w14:textId="77777777" w:rsidR="00A67B18" w:rsidRPr="00493487" w:rsidRDefault="00A67B18" w:rsidP="00A67B18">
      <w:pPr>
        <w:pStyle w:val="zzCopyright"/>
        <w:rPr>
          <w:color w:val="auto"/>
        </w:rPr>
      </w:pPr>
      <w:r w:rsidRPr="00493487">
        <w:rPr>
          <w:color w:val="auto"/>
        </w:rPr>
        <w:t>This EAC document is copyright-protected by EAC. While the reproduction of this document by participants in the EAC standards development process is permitted without prior permission from EAC, neither this document nor any extract from it may be reproduced, stored or transmitted in any form for any other purpose without prior written permission from EAC.</w:t>
      </w:r>
    </w:p>
    <w:p w14:paraId="2DF588E7" w14:textId="77777777" w:rsidR="00A67B18" w:rsidRPr="00493487" w:rsidRDefault="00A67B18" w:rsidP="00A67B18">
      <w:pPr>
        <w:pStyle w:val="zzCopyright"/>
        <w:rPr>
          <w:color w:val="auto"/>
        </w:rPr>
      </w:pPr>
      <w:r w:rsidRPr="00493487">
        <w:rPr>
          <w:color w:val="auto"/>
        </w:rPr>
        <w:t>Requests for permission to reproduce this document for the purpose of selling it should be addressed as shown below or to EAC’s member body in the country of the requester:</w:t>
      </w:r>
    </w:p>
    <w:p w14:paraId="3F91C72E" w14:textId="4E3EA98C" w:rsidR="00A67B18" w:rsidRPr="00E556B4" w:rsidRDefault="00A67B18" w:rsidP="00A67B18">
      <w:pPr>
        <w:pStyle w:val="zzCopyright"/>
        <w:spacing w:after="0"/>
        <w:ind w:firstLine="400"/>
        <w:jc w:val="left"/>
        <w:rPr>
          <w:i/>
          <w:iCs/>
          <w:color w:val="auto"/>
        </w:rPr>
      </w:pPr>
      <w:r w:rsidRPr="00E556B4">
        <w:rPr>
          <w:i/>
          <w:iCs/>
          <w:color w:val="auto"/>
        </w:rPr>
        <w:t xml:space="preserve">© East African </w:t>
      </w:r>
      <w:r w:rsidRPr="00323162">
        <w:rPr>
          <w:i/>
          <w:iCs/>
          <w:color w:val="auto"/>
        </w:rPr>
        <w:t>Community 20</w:t>
      </w:r>
      <w:r>
        <w:rPr>
          <w:i/>
          <w:iCs/>
          <w:color w:val="auto"/>
        </w:rPr>
        <w:t>2</w:t>
      </w:r>
      <w:r w:rsidR="00F26FC5">
        <w:rPr>
          <w:i/>
          <w:iCs/>
          <w:color w:val="auto"/>
        </w:rPr>
        <w:t>4</w:t>
      </w:r>
      <w:r w:rsidRPr="00323162">
        <w:rPr>
          <w:i/>
          <w:iCs/>
          <w:color w:val="auto"/>
        </w:rPr>
        <w:t xml:space="preserve"> — All</w:t>
      </w:r>
      <w:r w:rsidRPr="00E556B4">
        <w:rPr>
          <w:i/>
          <w:iCs/>
          <w:color w:val="auto"/>
        </w:rPr>
        <w:t xml:space="preserve"> rights reserved</w:t>
      </w:r>
    </w:p>
    <w:p w14:paraId="56931191" w14:textId="77777777" w:rsidR="00A67B18" w:rsidRPr="00E556B4" w:rsidRDefault="00A67B18" w:rsidP="00A67B18">
      <w:pPr>
        <w:pStyle w:val="zzCopyright"/>
        <w:tabs>
          <w:tab w:val="clear" w:pos="9623"/>
          <w:tab w:val="left" w:pos="6050"/>
        </w:tabs>
        <w:spacing w:after="0"/>
        <w:ind w:firstLine="400"/>
        <w:jc w:val="left"/>
        <w:rPr>
          <w:i/>
          <w:iCs/>
          <w:color w:val="auto"/>
        </w:rPr>
      </w:pPr>
      <w:r w:rsidRPr="00E556B4">
        <w:rPr>
          <w:i/>
          <w:iCs/>
          <w:color w:val="auto"/>
        </w:rPr>
        <w:t>East African Community</w:t>
      </w:r>
    </w:p>
    <w:p w14:paraId="6315CA0E" w14:textId="77777777" w:rsidR="00A67B18" w:rsidRPr="00E556B4" w:rsidRDefault="00A67B18" w:rsidP="00A67B18">
      <w:pPr>
        <w:pStyle w:val="zzCopyright"/>
        <w:spacing w:after="0"/>
        <w:ind w:firstLine="400"/>
        <w:jc w:val="left"/>
        <w:rPr>
          <w:i/>
          <w:iCs/>
          <w:color w:val="auto"/>
        </w:rPr>
      </w:pPr>
      <w:r w:rsidRPr="00E556B4">
        <w:rPr>
          <w:i/>
          <w:iCs/>
          <w:color w:val="auto"/>
        </w:rPr>
        <w:t>P.O.</w:t>
      </w:r>
      <w:r>
        <w:rPr>
          <w:i/>
          <w:iCs/>
          <w:color w:val="auto"/>
        </w:rPr>
        <w:t xml:space="preserve"> </w:t>
      </w:r>
      <w:r w:rsidRPr="00E556B4">
        <w:rPr>
          <w:i/>
          <w:iCs/>
          <w:color w:val="auto"/>
        </w:rPr>
        <w:t>Box 1096</w:t>
      </w:r>
      <w:r w:rsidRPr="00FA63DA">
        <w:rPr>
          <w:i/>
          <w:iCs/>
          <w:color w:val="auto"/>
        </w:rPr>
        <w:t>,</w:t>
      </w:r>
    </w:p>
    <w:p w14:paraId="55F567E1" w14:textId="77777777" w:rsidR="00A67B18" w:rsidRPr="005126A7" w:rsidRDefault="00A67B18" w:rsidP="00A67B18">
      <w:pPr>
        <w:pStyle w:val="zzCopyright"/>
        <w:spacing w:after="0"/>
        <w:ind w:firstLine="400"/>
        <w:jc w:val="left"/>
        <w:rPr>
          <w:i/>
          <w:iCs/>
          <w:color w:val="auto"/>
          <w:lang w:val="it-IT"/>
        </w:rPr>
      </w:pPr>
      <w:r w:rsidRPr="005126A7">
        <w:rPr>
          <w:i/>
          <w:iCs/>
          <w:color w:val="auto"/>
          <w:lang w:val="it-IT"/>
        </w:rPr>
        <w:t>Arusha</w:t>
      </w:r>
    </w:p>
    <w:p w14:paraId="429F190D" w14:textId="77777777" w:rsidR="00A67B18" w:rsidRPr="005126A7" w:rsidRDefault="00A67B18" w:rsidP="00A67B18">
      <w:pPr>
        <w:pStyle w:val="zzCopyright"/>
        <w:spacing w:after="0"/>
        <w:ind w:firstLine="400"/>
        <w:jc w:val="left"/>
        <w:rPr>
          <w:i/>
          <w:iCs/>
          <w:color w:val="auto"/>
          <w:lang w:val="it-IT"/>
        </w:rPr>
      </w:pPr>
      <w:r w:rsidRPr="005126A7">
        <w:rPr>
          <w:i/>
          <w:iCs/>
          <w:color w:val="auto"/>
          <w:lang w:val="it-IT"/>
        </w:rPr>
        <w:t>Tanzania</w:t>
      </w:r>
    </w:p>
    <w:p w14:paraId="6C90DA4B" w14:textId="77777777" w:rsidR="00A67B18" w:rsidRPr="005126A7" w:rsidRDefault="00A67B18" w:rsidP="00A67B18">
      <w:pPr>
        <w:pStyle w:val="zzCopyright"/>
        <w:spacing w:after="0"/>
        <w:ind w:firstLine="400"/>
        <w:jc w:val="left"/>
        <w:rPr>
          <w:i/>
          <w:iCs/>
          <w:color w:val="auto"/>
          <w:lang w:val="it-IT"/>
        </w:rPr>
      </w:pPr>
      <w:r w:rsidRPr="005126A7">
        <w:rPr>
          <w:i/>
          <w:iCs/>
          <w:color w:val="auto"/>
          <w:lang w:val="it-IT"/>
        </w:rPr>
        <w:t>Tel: + 255 27 2162100</w:t>
      </w:r>
    </w:p>
    <w:p w14:paraId="0C134F88" w14:textId="77777777" w:rsidR="00A67B18" w:rsidRPr="005126A7" w:rsidRDefault="00A67B18" w:rsidP="00A67B18">
      <w:pPr>
        <w:pStyle w:val="zzCopyright"/>
        <w:spacing w:after="0"/>
        <w:ind w:firstLine="400"/>
        <w:jc w:val="left"/>
        <w:rPr>
          <w:i/>
          <w:iCs/>
          <w:color w:val="auto"/>
          <w:lang w:val="it-IT"/>
        </w:rPr>
      </w:pPr>
      <w:r w:rsidRPr="005126A7">
        <w:rPr>
          <w:i/>
          <w:iCs/>
          <w:color w:val="auto"/>
          <w:lang w:val="it-IT"/>
        </w:rPr>
        <w:t>Fax: + 255 27 2162190</w:t>
      </w:r>
    </w:p>
    <w:p w14:paraId="5BDED79E" w14:textId="77777777" w:rsidR="00A67B18" w:rsidRPr="005126A7" w:rsidRDefault="00A67B18" w:rsidP="00A67B18">
      <w:pPr>
        <w:pStyle w:val="zzCopyright"/>
        <w:spacing w:after="0"/>
        <w:ind w:firstLine="400"/>
        <w:rPr>
          <w:i/>
          <w:iCs/>
          <w:color w:val="auto"/>
          <w:lang w:val="it-IT"/>
        </w:rPr>
      </w:pPr>
      <w:r w:rsidRPr="005126A7">
        <w:rPr>
          <w:i/>
          <w:iCs/>
          <w:color w:val="auto"/>
          <w:lang w:val="it-IT"/>
        </w:rPr>
        <w:t xml:space="preserve">E-mail: </w:t>
      </w:r>
      <w:hyperlink r:id="rId13" w:history="1">
        <w:r w:rsidRPr="00334E1F">
          <w:rPr>
            <w:rStyle w:val="Hyperlink"/>
            <w:i/>
            <w:iCs/>
            <w:lang w:val="it-IT"/>
          </w:rPr>
          <w:t>eac@eachq.org</w:t>
        </w:r>
      </w:hyperlink>
      <w:r>
        <w:rPr>
          <w:i/>
          <w:iCs/>
          <w:color w:val="auto"/>
          <w:lang w:val="it-IT"/>
        </w:rPr>
        <w:t xml:space="preserve"> </w:t>
      </w:r>
    </w:p>
    <w:p w14:paraId="0F029F9E" w14:textId="77777777" w:rsidR="00A67B18" w:rsidRDefault="00A67B18" w:rsidP="00A67B18">
      <w:pPr>
        <w:pStyle w:val="zzCopyright"/>
        <w:rPr>
          <w:i/>
          <w:iCs/>
          <w:color w:val="auto"/>
        </w:rPr>
      </w:pPr>
      <w:r w:rsidRPr="005126A7">
        <w:rPr>
          <w:i/>
          <w:iCs/>
          <w:color w:val="FF0000"/>
          <w:lang w:val="it-IT"/>
        </w:rPr>
        <w:t xml:space="preserve">  </w:t>
      </w:r>
      <w:r w:rsidRPr="005126A7">
        <w:rPr>
          <w:i/>
          <w:iCs/>
          <w:color w:val="auto"/>
          <w:lang w:val="it-IT"/>
        </w:rPr>
        <w:t xml:space="preserve">     </w:t>
      </w:r>
      <w:r w:rsidRPr="001D07F1">
        <w:rPr>
          <w:i/>
          <w:iCs/>
          <w:color w:val="auto"/>
        </w:rPr>
        <w:t xml:space="preserve">Web: </w:t>
      </w:r>
      <w:hyperlink r:id="rId14" w:history="1">
        <w:r w:rsidRPr="00334E1F">
          <w:rPr>
            <w:rStyle w:val="Hyperlink"/>
            <w:i/>
            <w:iCs/>
          </w:rPr>
          <w:t>www.eac-quality.net</w:t>
        </w:r>
      </w:hyperlink>
      <w:r>
        <w:rPr>
          <w:i/>
          <w:iCs/>
          <w:color w:val="auto"/>
        </w:rPr>
        <w:t xml:space="preserve"> </w:t>
      </w:r>
    </w:p>
    <w:p w14:paraId="72B2345B" w14:textId="77777777" w:rsidR="00A67B18" w:rsidRDefault="00A67B18" w:rsidP="00A67B18">
      <w:pPr>
        <w:pStyle w:val="zzCopyright"/>
        <w:rPr>
          <w:color w:val="auto"/>
        </w:rPr>
      </w:pPr>
      <w:r w:rsidRPr="00493487">
        <w:rPr>
          <w:color w:val="auto"/>
        </w:rPr>
        <w:t>Reproduction for sales purposes may be subject to royalty payments or a licensing agreement.</w:t>
      </w:r>
      <w:r>
        <w:rPr>
          <w:color w:val="auto"/>
        </w:rPr>
        <w:t xml:space="preserve"> Violators may be </w:t>
      </w:r>
      <w:r w:rsidRPr="005126A7">
        <w:rPr>
          <w:color w:val="auto"/>
        </w:rPr>
        <w:t>prosecuted.</w:t>
      </w:r>
    </w:p>
    <w:p w14:paraId="398F7D99" w14:textId="77777777" w:rsidR="00A67B18" w:rsidRPr="0090743A" w:rsidRDefault="00A67B18" w:rsidP="00A67B18">
      <w:pPr>
        <w:pStyle w:val="zzForeword"/>
        <w:rPr>
          <w:color w:val="auto"/>
        </w:rPr>
      </w:pPr>
      <w:bookmarkStart w:id="1" w:name="_Toc165968670"/>
      <w:bookmarkStart w:id="2" w:name="_Toc165973806"/>
      <w:r w:rsidRPr="0090743A">
        <w:rPr>
          <w:color w:val="auto"/>
        </w:rPr>
        <w:lastRenderedPageBreak/>
        <w:t>Foreword</w:t>
      </w:r>
      <w:bookmarkEnd w:id="1"/>
      <w:bookmarkEnd w:id="2"/>
    </w:p>
    <w:p w14:paraId="50D217D8" w14:textId="77777777" w:rsidR="00A67B18" w:rsidRDefault="00A67B18" w:rsidP="00A67B18">
      <w:pPr>
        <w:tabs>
          <w:tab w:val="left" w:pos="1652"/>
        </w:tabs>
        <w:spacing w:before="120"/>
      </w:pPr>
      <w:r>
        <w:t>Development of the East African Standards has been necessitated by the need for harmonizing requirements governing quality of products and services in the East African Community. It is envisaged that through harmonized standardization, trade barriers that are encountered when goods and services are exchanged within the Community will be removed.</w:t>
      </w:r>
    </w:p>
    <w:p w14:paraId="26E99B54" w14:textId="77777777" w:rsidR="00A67B18" w:rsidRDefault="00A67B18" w:rsidP="00A67B18">
      <w:pPr>
        <w:tabs>
          <w:tab w:val="left" w:pos="1652"/>
        </w:tabs>
      </w:pPr>
      <w:r>
        <w:t xml:space="preserve">The Community has established an East African Standards Committee </w:t>
      </w:r>
      <w:r w:rsidRPr="001A5E92">
        <w:t>(</w:t>
      </w:r>
      <w:r w:rsidRPr="00563C35">
        <w:t>EASC)</w:t>
      </w:r>
      <w:r>
        <w:t xml:space="preserve"> mandated to develop and issue East African Standards </w:t>
      </w:r>
      <w:r w:rsidRPr="001A5E92">
        <w:t>(EAS).</w:t>
      </w:r>
      <w:r>
        <w:rPr>
          <w:sz w:val="22"/>
          <w:szCs w:val="22"/>
        </w:rPr>
        <w:t xml:space="preserve"> </w:t>
      </w:r>
      <w:r>
        <w:t>The Committee is composed of representatives of the National Standards Bodies in Partner States, together with the representatives from the public and private sector organizations in the community.</w:t>
      </w:r>
    </w:p>
    <w:p w14:paraId="6AF8A188" w14:textId="77777777" w:rsidR="00A67B18" w:rsidRDefault="00A67B18" w:rsidP="00A67B18">
      <w:pPr>
        <w:pStyle w:val="BodyText2"/>
        <w:tabs>
          <w:tab w:val="left" w:pos="1652"/>
        </w:tabs>
        <w:spacing w:before="0" w:line="240" w:lineRule="auto"/>
        <w:rPr>
          <w:sz w:val="20"/>
        </w:rPr>
      </w:pPr>
      <w:r>
        <w:rPr>
          <w:sz w:val="20"/>
        </w:rPr>
        <w:t xml:space="preserve">East African Standards are developed through Technical Committees that are representative of key stakeholders including government, academia, consumer groups, private sector and other interested parties. Draft East African Standards are circulated to stakeholders through the National Standards Bodies in the Partner States. The comments received are discussed and incorporated before finalization of standards, in </w:t>
      </w:r>
      <w:r w:rsidRPr="00B5797B">
        <w:rPr>
          <w:sz w:val="20"/>
        </w:rPr>
        <w:t>accordance with the Principles and procedures for develop</w:t>
      </w:r>
      <w:r>
        <w:rPr>
          <w:sz w:val="20"/>
        </w:rPr>
        <w:t>ment of East African Standards.</w:t>
      </w:r>
    </w:p>
    <w:p w14:paraId="5F59CB33" w14:textId="77777777" w:rsidR="00A67B18" w:rsidRDefault="00A67B18" w:rsidP="00A67B18">
      <w:pPr>
        <w:pStyle w:val="BodyText2"/>
        <w:tabs>
          <w:tab w:val="left" w:pos="1652"/>
        </w:tabs>
        <w:spacing w:before="120" w:after="120" w:line="240" w:lineRule="auto"/>
        <w:rPr>
          <w:sz w:val="22"/>
          <w:szCs w:val="22"/>
        </w:rPr>
      </w:pPr>
      <w:r>
        <w:rPr>
          <w:sz w:val="20"/>
        </w:rPr>
        <w:t>East African Standards are subject to review, to keep pace with technological advances. Users of the East African Standards are therefore expected to ensure that they always have the latest versions of the standards they are implementing</w:t>
      </w:r>
      <w:r>
        <w:rPr>
          <w:sz w:val="22"/>
          <w:szCs w:val="22"/>
        </w:rPr>
        <w:t>.</w:t>
      </w:r>
    </w:p>
    <w:p w14:paraId="12D559D8" w14:textId="77777777" w:rsidR="00A67B18" w:rsidRPr="008C28C4" w:rsidRDefault="00A67B18" w:rsidP="00A67B18">
      <w:pPr>
        <w:rPr>
          <w:i/>
        </w:rPr>
      </w:pPr>
      <w:r w:rsidRPr="008C28C4">
        <w:t xml:space="preserve">The committee responsible for this document is Technical Committee </w:t>
      </w:r>
      <w:r w:rsidRPr="00566127">
        <w:t xml:space="preserve">EASC/TC </w:t>
      </w:r>
      <w:r>
        <w:t>038.</w:t>
      </w:r>
    </w:p>
    <w:p w14:paraId="1DE45FAE" w14:textId="77777777" w:rsidR="00A67B18" w:rsidRPr="001157C4" w:rsidRDefault="00A67B18" w:rsidP="00A67B18">
      <w:r>
        <w:t>Attention is drawn to the possibility that some of the elements of this document may be subject of patent rights. EAC shall not be held responsible for identifying any or all such patent rights.</w:t>
      </w:r>
    </w:p>
    <w:p w14:paraId="5D375021" w14:textId="77777777" w:rsidR="00A67B18" w:rsidRDefault="00A67B18" w:rsidP="00A67B18">
      <w:pPr>
        <w:pStyle w:val="zzHelp"/>
        <w:tabs>
          <w:tab w:val="left" w:pos="800"/>
        </w:tabs>
      </w:pPr>
    </w:p>
    <w:p w14:paraId="2E09EB7D" w14:textId="77777777" w:rsidR="00A67B18" w:rsidRDefault="00A67B18" w:rsidP="00A67B18">
      <w:pPr>
        <w:sectPr w:rsidR="00A67B18" w:rsidSect="00A67B18">
          <w:headerReference w:type="even" r:id="rId15"/>
          <w:headerReference w:type="default" r:id="rId16"/>
          <w:footerReference w:type="even" r:id="rId17"/>
          <w:footerReference w:type="default" r:id="rId18"/>
          <w:headerReference w:type="first" r:id="rId19"/>
          <w:footerReference w:type="first" r:id="rId20"/>
          <w:type w:val="evenPage"/>
          <w:pgSz w:w="11906" w:h="16838" w:code="9"/>
          <w:pgMar w:top="794" w:right="737" w:bottom="567" w:left="851" w:header="720" w:footer="284" w:gutter="567"/>
          <w:pgNumType w:fmt="lowerRoman" w:start="2"/>
          <w:cols w:space="720"/>
        </w:sectPr>
      </w:pPr>
    </w:p>
    <w:p w14:paraId="4D9BEAA8" w14:textId="25860565" w:rsidR="00A67B18" w:rsidRPr="00EA1A93" w:rsidRDefault="00A67B18" w:rsidP="00A67B18">
      <w:pPr>
        <w:pStyle w:val="zzSTDTitle"/>
        <w:rPr>
          <w:color w:val="auto"/>
          <w:sz w:val="28"/>
          <w:szCs w:val="28"/>
        </w:rPr>
      </w:pPr>
      <w:r w:rsidRPr="003571F0">
        <w:rPr>
          <w:color w:val="auto"/>
          <w:sz w:val="28"/>
          <w:szCs w:val="28"/>
        </w:rPr>
        <w:lastRenderedPageBreak/>
        <w:t xml:space="preserve">Gas cylinders— </w:t>
      </w:r>
      <w:r w:rsidR="001E2FE3">
        <w:rPr>
          <w:color w:val="auto"/>
          <w:sz w:val="28"/>
          <w:szCs w:val="28"/>
        </w:rPr>
        <w:t xml:space="preserve">Part 1: </w:t>
      </w:r>
      <w:r w:rsidRPr="003571F0">
        <w:rPr>
          <w:color w:val="auto"/>
          <w:sz w:val="28"/>
          <w:szCs w:val="28"/>
        </w:rPr>
        <w:t>Refillable welded low carbon cylinders for liquefied petroleum gas (LPG) exceeding 5-litre water capacity</w:t>
      </w:r>
      <w:r w:rsidR="00741492">
        <w:rPr>
          <w:color w:val="auto"/>
          <w:sz w:val="28"/>
          <w:szCs w:val="28"/>
        </w:rPr>
        <w:t>-</w:t>
      </w:r>
      <w:r w:rsidRPr="003571F0">
        <w:rPr>
          <w:color w:val="auto"/>
          <w:sz w:val="28"/>
          <w:szCs w:val="28"/>
        </w:rPr>
        <w:t xml:space="preserve"> </w:t>
      </w:r>
      <w:r>
        <w:rPr>
          <w:color w:val="auto"/>
          <w:sz w:val="28"/>
          <w:szCs w:val="28"/>
        </w:rPr>
        <w:t>F</w:t>
      </w:r>
      <w:r w:rsidRPr="003571F0">
        <w:rPr>
          <w:color w:val="auto"/>
          <w:sz w:val="28"/>
          <w:szCs w:val="28"/>
        </w:rPr>
        <w:t xml:space="preserve">illing, distribution and retailing of </w:t>
      </w:r>
      <w:r>
        <w:rPr>
          <w:color w:val="auto"/>
          <w:sz w:val="28"/>
          <w:szCs w:val="28"/>
        </w:rPr>
        <w:t>L</w:t>
      </w:r>
      <w:r w:rsidRPr="003571F0">
        <w:rPr>
          <w:color w:val="auto"/>
          <w:sz w:val="28"/>
          <w:szCs w:val="28"/>
        </w:rPr>
        <w:t xml:space="preserve">iquefied </w:t>
      </w:r>
      <w:r>
        <w:rPr>
          <w:color w:val="auto"/>
          <w:sz w:val="28"/>
          <w:szCs w:val="28"/>
        </w:rPr>
        <w:t>P</w:t>
      </w:r>
      <w:r w:rsidRPr="003571F0">
        <w:rPr>
          <w:color w:val="auto"/>
          <w:sz w:val="28"/>
          <w:szCs w:val="28"/>
        </w:rPr>
        <w:t xml:space="preserve">etroleum </w:t>
      </w:r>
      <w:r>
        <w:rPr>
          <w:color w:val="auto"/>
          <w:sz w:val="28"/>
          <w:szCs w:val="28"/>
        </w:rPr>
        <w:t>G</w:t>
      </w:r>
      <w:r w:rsidRPr="003571F0">
        <w:rPr>
          <w:color w:val="auto"/>
          <w:sz w:val="28"/>
          <w:szCs w:val="28"/>
        </w:rPr>
        <w:t>as in cylinders</w:t>
      </w:r>
      <w:r>
        <w:rPr>
          <w:color w:val="auto"/>
          <w:sz w:val="28"/>
          <w:szCs w:val="28"/>
        </w:rPr>
        <w:t>-</w:t>
      </w:r>
      <w:r w:rsidRPr="004F7DAD">
        <w:rPr>
          <w:color w:val="auto"/>
          <w:sz w:val="28"/>
          <w:szCs w:val="28"/>
        </w:rPr>
        <w:t xml:space="preserve"> </w:t>
      </w:r>
      <w:r w:rsidRPr="003571F0">
        <w:rPr>
          <w:color w:val="auto"/>
          <w:sz w:val="28"/>
          <w:szCs w:val="28"/>
        </w:rPr>
        <w:t>Code of practice</w:t>
      </w:r>
    </w:p>
    <w:p w14:paraId="71861D79" w14:textId="77777777" w:rsidR="00A67B18" w:rsidRPr="00A67B18" w:rsidRDefault="00A67B18" w:rsidP="00A67B18">
      <w:pPr>
        <w:pStyle w:val="Heading1"/>
        <w:rPr>
          <w:rFonts w:ascii="Arial" w:hAnsi="Arial" w:cs="Arial"/>
          <w:b/>
          <w:bCs/>
          <w:color w:val="auto"/>
          <w:sz w:val="24"/>
          <w:szCs w:val="24"/>
        </w:rPr>
      </w:pPr>
      <w:bookmarkStart w:id="3" w:name="_Toc443461091"/>
      <w:bookmarkStart w:id="4" w:name="_Toc443470360"/>
      <w:bookmarkStart w:id="5" w:name="_Toc450303210"/>
      <w:bookmarkStart w:id="6" w:name="_Toc165973807"/>
      <w:r w:rsidRPr="00A67B18">
        <w:rPr>
          <w:rFonts w:ascii="Arial" w:hAnsi="Arial" w:cs="Arial"/>
          <w:b/>
          <w:bCs/>
          <w:color w:val="auto"/>
          <w:sz w:val="24"/>
          <w:szCs w:val="24"/>
        </w:rPr>
        <w:t>1</w:t>
      </w:r>
      <w:r w:rsidRPr="00A67B18">
        <w:rPr>
          <w:rFonts w:ascii="Arial" w:hAnsi="Arial" w:cs="Arial"/>
          <w:b/>
          <w:bCs/>
          <w:color w:val="auto"/>
          <w:sz w:val="24"/>
          <w:szCs w:val="24"/>
        </w:rPr>
        <w:tab/>
        <w:t>Scope</w:t>
      </w:r>
      <w:bookmarkEnd w:id="3"/>
      <w:bookmarkEnd w:id="4"/>
      <w:bookmarkEnd w:id="5"/>
      <w:bookmarkEnd w:id="6"/>
    </w:p>
    <w:p w14:paraId="4125A11F" w14:textId="77777777" w:rsidR="00A67B18" w:rsidRPr="0081578A" w:rsidRDefault="00A67B18" w:rsidP="00A67B18">
      <w:r w:rsidRPr="002C54A9">
        <w:rPr>
          <w:lang w:val="en-US"/>
        </w:rPr>
        <w:t xml:space="preserve">This </w:t>
      </w:r>
      <w:r>
        <w:rPr>
          <w:lang w:val="en-US"/>
        </w:rPr>
        <w:t xml:space="preserve">Draft </w:t>
      </w:r>
      <w:r w:rsidRPr="002C54A9">
        <w:rPr>
          <w:lang w:val="en-US"/>
        </w:rPr>
        <w:t>East African Standar</w:t>
      </w:r>
      <w:r>
        <w:rPr>
          <w:lang w:val="en-US"/>
        </w:rPr>
        <w:t xml:space="preserve">d </w:t>
      </w:r>
      <w:r w:rsidRPr="0060752A">
        <w:rPr>
          <w:lang w:val="en-US"/>
        </w:rPr>
        <w:t>gives a code of practice to be followed in the filling, distribution and retailing of liquefied petroleum gas in cylinders.</w:t>
      </w:r>
    </w:p>
    <w:p w14:paraId="5BA2E6F8" w14:textId="77777777" w:rsidR="00A67B18" w:rsidRPr="00A67B18" w:rsidRDefault="00A67B18" w:rsidP="00A67B18">
      <w:pPr>
        <w:pStyle w:val="Heading1"/>
        <w:rPr>
          <w:rFonts w:ascii="Arial" w:hAnsi="Arial" w:cs="Arial"/>
          <w:b/>
          <w:bCs/>
          <w:color w:val="auto"/>
          <w:sz w:val="24"/>
          <w:szCs w:val="24"/>
        </w:rPr>
      </w:pPr>
      <w:bookmarkStart w:id="7" w:name="_Toc443461093"/>
      <w:bookmarkStart w:id="8" w:name="_Toc443470362"/>
      <w:bookmarkStart w:id="9" w:name="_Toc450303212"/>
      <w:bookmarkStart w:id="10" w:name="_Toc165973809"/>
      <w:r w:rsidRPr="00A67B18">
        <w:rPr>
          <w:rFonts w:ascii="Arial" w:hAnsi="Arial" w:cs="Arial"/>
          <w:b/>
          <w:bCs/>
          <w:color w:val="auto"/>
          <w:sz w:val="24"/>
          <w:szCs w:val="24"/>
        </w:rPr>
        <w:t>2</w:t>
      </w:r>
      <w:r w:rsidRPr="00A67B18">
        <w:rPr>
          <w:rFonts w:ascii="Arial" w:hAnsi="Arial" w:cs="Arial"/>
          <w:b/>
          <w:bCs/>
          <w:color w:val="auto"/>
          <w:sz w:val="24"/>
          <w:szCs w:val="24"/>
        </w:rPr>
        <w:tab/>
        <w:t>Normative references</w:t>
      </w:r>
      <w:bookmarkEnd w:id="7"/>
      <w:bookmarkEnd w:id="8"/>
      <w:bookmarkEnd w:id="9"/>
      <w:bookmarkEnd w:id="10"/>
    </w:p>
    <w:p w14:paraId="1383A797" w14:textId="77777777" w:rsidR="00A67B18" w:rsidRDefault="00A67B18" w:rsidP="00A67B18">
      <w:pPr>
        <w:keepNext/>
      </w:pPr>
      <w:r w:rsidRPr="00015055">
        <w:t>The following documents are referred to in the text in such a way that some or all of their content constitutes requirements of this document.</w:t>
      </w:r>
      <w:r w:rsidRPr="00FF2548">
        <w:t xml:space="preserve"> </w:t>
      </w:r>
      <w:r>
        <w:t>For dated references, only the edition cited applies. For undated references, the latest edition of the referenced document (including any amendments) applies.</w:t>
      </w:r>
    </w:p>
    <w:p w14:paraId="54AE1EED" w14:textId="779F91FF" w:rsidR="00A67B18" w:rsidRPr="00A67B18" w:rsidRDefault="00A67B18" w:rsidP="00A67B18">
      <w:pPr>
        <w:pStyle w:val="RefNorm"/>
        <w:rPr>
          <w:i/>
          <w:iCs/>
        </w:rPr>
      </w:pPr>
      <w:bookmarkStart w:id="11" w:name="_Toc443461094"/>
      <w:bookmarkStart w:id="12" w:name="_Toc443470363"/>
      <w:bookmarkStart w:id="13" w:name="_Toc450303213"/>
      <w:bookmarkStart w:id="14" w:name="_Toc165973810"/>
      <w:r>
        <w:t xml:space="preserve">ISO 4706, </w:t>
      </w:r>
      <w:r w:rsidRPr="0060752A">
        <w:rPr>
          <w:i/>
          <w:iCs/>
        </w:rPr>
        <w:t>Specification for refillable welded steel gas cylinders</w:t>
      </w:r>
      <w:r>
        <w:rPr>
          <w:i/>
          <w:iCs/>
        </w:rPr>
        <w:t xml:space="preserve"> </w:t>
      </w:r>
      <w:r w:rsidRPr="00F549B5">
        <w:t>Gas cylinders — Refillable welded steel cylinders — Test pressure 60 bar and below.</w:t>
      </w:r>
    </w:p>
    <w:p w14:paraId="36E557DE" w14:textId="77777777" w:rsidR="00A67B18" w:rsidRPr="00A67B18" w:rsidRDefault="00A67B18" w:rsidP="00A67B18">
      <w:pPr>
        <w:pStyle w:val="RefNorm"/>
        <w:rPr>
          <w:i/>
          <w:iCs/>
        </w:rPr>
      </w:pPr>
      <w:r w:rsidRPr="00A67B18">
        <w:rPr>
          <w:i/>
          <w:iCs/>
        </w:rPr>
        <w:t xml:space="preserve">ISO 10464:2004; Gas cylinders — Refillable welded steel cylinders for Liquefied Petroleum Gas (LPG) — Periodic inspection and testing </w:t>
      </w:r>
    </w:p>
    <w:p w14:paraId="1768BD76" w14:textId="77777777" w:rsidR="00A67B18" w:rsidRPr="00A67B18" w:rsidRDefault="00A67B18" w:rsidP="00A67B18">
      <w:pPr>
        <w:pStyle w:val="Heading1"/>
        <w:rPr>
          <w:rFonts w:ascii="Arial" w:hAnsi="Arial" w:cs="Arial"/>
          <w:b/>
          <w:bCs/>
          <w:color w:val="auto"/>
          <w:sz w:val="24"/>
          <w:szCs w:val="24"/>
        </w:rPr>
      </w:pPr>
      <w:r w:rsidRPr="00A67B18">
        <w:rPr>
          <w:rFonts w:ascii="Arial" w:hAnsi="Arial" w:cs="Arial"/>
          <w:b/>
          <w:bCs/>
          <w:color w:val="auto"/>
          <w:sz w:val="24"/>
          <w:szCs w:val="24"/>
        </w:rPr>
        <w:t>3</w:t>
      </w:r>
      <w:r w:rsidRPr="00A67B18">
        <w:rPr>
          <w:rFonts w:ascii="Arial" w:hAnsi="Arial" w:cs="Arial"/>
          <w:b/>
          <w:bCs/>
          <w:color w:val="auto"/>
          <w:sz w:val="24"/>
          <w:szCs w:val="24"/>
        </w:rPr>
        <w:tab/>
        <w:t>Terms and definitions</w:t>
      </w:r>
      <w:bookmarkEnd w:id="11"/>
      <w:bookmarkEnd w:id="12"/>
      <w:bookmarkEnd w:id="13"/>
      <w:bookmarkEnd w:id="14"/>
    </w:p>
    <w:p w14:paraId="28391B3B" w14:textId="77777777" w:rsidR="00A67B18" w:rsidRPr="00931571" w:rsidRDefault="00A67B18" w:rsidP="00A67B18">
      <w:pPr>
        <w:rPr>
          <w:rFonts w:eastAsia="MS Mincho"/>
          <w:lang w:eastAsia="ja-JP"/>
        </w:rPr>
      </w:pPr>
      <w:r w:rsidRPr="00975229">
        <w:rPr>
          <w:rFonts w:eastAsia="MS Mincho"/>
          <w:lang w:eastAsia="ja-JP"/>
        </w:rPr>
        <w:t xml:space="preserve">For the purposes of this document, the </w:t>
      </w:r>
      <w:r w:rsidRPr="00E72890">
        <w:rPr>
          <w:rFonts w:eastAsia="MS Mincho"/>
          <w:lang w:eastAsia="ja-JP"/>
        </w:rPr>
        <w:t xml:space="preserve">following </w:t>
      </w:r>
      <w:r w:rsidRPr="00975229">
        <w:rPr>
          <w:rFonts w:eastAsia="MS Mincho"/>
          <w:lang w:eastAsia="ja-JP"/>
        </w:rPr>
        <w:t xml:space="preserve">terms and definitions </w:t>
      </w:r>
      <w:r>
        <w:rPr>
          <w:rFonts w:eastAsia="MS Mincho"/>
          <w:lang w:eastAsia="ja-JP"/>
        </w:rPr>
        <w:t xml:space="preserve">shall </w:t>
      </w:r>
      <w:r w:rsidRPr="00E72890">
        <w:rPr>
          <w:rFonts w:eastAsia="MS Mincho"/>
          <w:lang w:eastAsia="ja-JP"/>
        </w:rPr>
        <w:t>apply.</w:t>
      </w:r>
    </w:p>
    <w:p w14:paraId="31D6653A" w14:textId="77777777" w:rsidR="00A67B18" w:rsidRPr="005F1A11" w:rsidRDefault="00A67B18" w:rsidP="00A67B18">
      <w:pPr>
        <w:rPr>
          <w:rFonts w:eastAsia="MS Mincho"/>
          <w:lang w:eastAsia="ja-JP"/>
        </w:rPr>
      </w:pPr>
      <w:r w:rsidRPr="005F1A11">
        <w:rPr>
          <w:rFonts w:eastAsia="MS Mincho"/>
          <w:lang w:eastAsia="ja-JP"/>
        </w:rPr>
        <w:t>ISO and IEC maintain terminological databases for use in standardization at the following addresses:</w:t>
      </w:r>
    </w:p>
    <w:p w14:paraId="08F61DCB" w14:textId="77777777" w:rsidR="00A67B18" w:rsidRPr="005F1A11" w:rsidRDefault="00A67B18" w:rsidP="00A67B18">
      <w:pPr>
        <w:rPr>
          <w:rFonts w:eastAsia="MS Mincho"/>
          <w:lang w:eastAsia="ja-JP"/>
        </w:rPr>
      </w:pPr>
      <w:r w:rsidRPr="005F1A11">
        <w:rPr>
          <w:rFonts w:eastAsia="MS Mincho"/>
          <w:lang w:eastAsia="ja-JP"/>
        </w:rPr>
        <w:t>—</w:t>
      </w:r>
      <w:r w:rsidRPr="005F1A11">
        <w:rPr>
          <w:rFonts w:eastAsia="MS Mincho"/>
          <w:lang w:eastAsia="ja-JP"/>
        </w:rPr>
        <w:tab/>
        <w:t xml:space="preserve">IEC Electropedia: available at </w:t>
      </w:r>
      <w:hyperlink r:id="rId21" w:history="1">
        <w:r w:rsidRPr="008A0EFE">
          <w:rPr>
            <w:rStyle w:val="Hyperlink"/>
            <w:rFonts w:eastAsia="MS Mincho"/>
            <w:lang w:eastAsia="ja-JP"/>
          </w:rPr>
          <w:t>http://www.electropedia.org/</w:t>
        </w:r>
      </w:hyperlink>
      <w:r>
        <w:rPr>
          <w:rFonts w:eastAsia="MS Mincho"/>
          <w:lang w:eastAsia="ja-JP"/>
        </w:rPr>
        <w:t xml:space="preserve"> </w:t>
      </w:r>
    </w:p>
    <w:p w14:paraId="64E19F4E" w14:textId="77777777" w:rsidR="00A67B18" w:rsidRDefault="00A67B18" w:rsidP="00A67B18">
      <w:pPr>
        <w:rPr>
          <w:rFonts w:eastAsia="MS Mincho"/>
          <w:lang w:eastAsia="ja-JP"/>
        </w:rPr>
      </w:pPr>
      <w:r w:rsidRPr="005F1A11">
        <w:rPr>
          <w:rFonts w:eastAsia="MS Mincho"/>
          <w:lang w:eastAsia="ja-JP"/>
        </w:rPr>
        <w:t>—</w:t>
      </w:r>
      <w:r w:rsidRPr="005F1A11">
        <w:rPr>
          <w:rFonts w:eastAsia="MS Mincho"/>
          <w:lang w:eastAsia="ja-JP"/>
        </w:rPr>
        <w:tab/>
        <w:t xml:space="preserve">ISO Online browsing platform: available at </w:t>
      </w:r>
      <w:hyperlink r:id="rId22" w:history="1">
        <w:r w:rsidRPr="008A0EFE">
          <w:rPr>
            <w:rStyle w:val="Hyperlink"/>
            <w:rFonts w:eastAsia="MS Mincho"/>
            <w:lang w:eastAsia="ja-JP"/>
          </w:rPr>
          <w:t>http://www.iso.org/obp</w:t>
        </w:r>
      </w:hyperlink>
      <w:bookmarkStart w:id="15" w:name="_Toc443461095"/>
      <w:bookmarkStart w:id="16" w:name="_Toc443470364"/>
      <w:bookmarkStart w:id="17" w:name="_Toc450303214"/>
      <w:bookmarkStart w:id="18" w:name="_Toc165973811"/>
      <w:r>
        <w:rPr>
          <w:rFonts w:eastAsia="MS Mincho"/>
          <w:lang w:eastAsia="ja-JP"/>
        </w:rPr>
        <w:t xml:space="preserve"> </w:t>
      </w:r>
    </w:p>
    <w:p w14:paraId="7CDD0668" w14:textId="77777777" w:rsidR="00A67B18" w:rsidRDefault="00A67B18" w:rsidP="00A67B18"/>
    <w:bookmarkEnd w:id="15"/>
    <w:bookmarkEnd w:id="16"/>
    <w:bookmarkEnd w:id="17"/>
    <w:bookmarkEnd w:id="18"/>
    <w:p w14:paraId="3EA953C5" w14:textId="77777777" w:rsidR="00A67B18" w:rsidRPr="00D05DAC" w:rsidRDefault="00A67B18" w:rsidP="00A67B18">
      <w:pPr>
        <w:pStyle w:val="TermNum"/>
        <w:rPr>
          <w:sz w:val="24"/>
          <w:szCs w:val="24"/>
          <w:lang w:val="en-US"/>
        </w:rPr>
      </w:pPr>
      <w:r w:rsidRPr="00D05DAC">
        <w:rPr>
          <w:sz w:val="24"/>
          <w:szCs w:val="24"/>
          <w:lang w:val="en-US"/>
        </w:rPr>
        <w:t>4</w:t>
      </w:r>
      <w:r w:rsidRPr="00D05DAC">
        <w:rPr>
          <w:sz w:val="24"/>
          <w:szCs w:val="24"/>
          <w:lang w:val="en-US"/>
        </w:rPr>
        <w:tab/>
      </w:r>
      <w:r>
        <w:rPr>
          <w:sz w:val="24"/>
          <w:szCs w:val="24"/>
          <w:lang w:val="en-US"/>
        </w:rPr>
        <w:t>Requi</w:t>
      </w:r>
      <w:r w:rsidRPr="00D05DAC">
        <w:rPr>
          <w:sz w:val="24"/>
          <w:szCs w:val="24"/>
          <w:lang w:val="en-US"/>
        </w:rPr>
        <w:t>rements</w:t>
      </w:r>
    </w:p>
    <w:p w14:paraId="00FF7DA5" w14:textId="77777777" w:rsidR="00A67B18" w:rsidRDefault="00A67B18" w:rsidP="00A67B18">
      <w:pPr>
        <w:pStyle w:val="TermNum"/>
        <w:rPr>
          <w:lang w:val="en-US"/>
        </w:rPr>
      </w:pPr>
    </w:p>
    <w:p w14:paraId="6483C495" w14:textId="77777777" w:rsidR="00A67B18" w:rsidRPr="00D05DAC" w:rsidRDefault="00A67B18" w:rsidP="00A67B18">
      <w:pPr>
        <w:pStyle w:val="TermNum"/>
        <w:rPr>
          <w:rFonts w:cs="Arial"/>
          <w:bCs/>
          <w:color w:val="000000"/>
          <w:sz w:val="22"/>
          <w:szCs w:val="22"/>
          <w:lang w:val="en-US"/>
        </w:rPr>
      </w:pPr>
      <w:r w:rsidRPr="00D05DAC">
        <w:rPr>
          <w:sz w:val="22"/>
          <w:szCs w:val="22"/>
          <w:lang w:val="en-US"/>
        </w:rPr>
        <w:t>4.1</w:t>
      </w:r>
      <w:r w:rsidRPr="00D05DAC">
        <w:rPr>
          <w:sz w:val="22"/>
          <w:szCs w:val="22"/>
          <w:lang w:val="en-US"/>
        </w:rPr>
        <w:tab/>
      </w:r>
      <w:r w:rsidRPr="00D05DAC">
        <w:rPr>
          <w:rFonts w:cs="Arial"/>
          <w:bCs/>
          <w:color w:val="000000"/>
          <w:sz w:val="22"/>
          <w:szCs w:val="22"/>
          <w:lang w:val="en-US"/>
        </w:rPr>
        <w:t xml:space="preserve">visual Inspection </w:t>
      </w:r>
    </w:p>
    <w:p w14:paraId="2E197753" w14:textId="77777777" w:rsidR="00A67B18" w:rsidRDefault="00A67B18" w:rsidP="00A67B18">
      <w:pPr>
        <w:pStyle w:val="Definition"/>
        <w:rPr>
          <w:lang w:val="en-US"/>
        </w:rPr>
      </w:pPr>
    </w:p>
    <w:p w14:paraId="22037F60" w14:textId="77777777" w:rsidR="00A67B18" w:rsidRPr="00D05DAC" w:rsidRDefault="00A67B18" w:rsidP="00A67B18">
      <w:pPr>
        <w:pStyle w:val="Definition"/>
      </w:pPr>
      <w:r>
        <w:rPr>
          <w:lang w:val="en-US"/>
        </w:rPr>
        <w:t>B</w:t>
      </w:r>
      <w:r w:rsidRPr="00D05DAC">
        <w:rPr>
          <w:lang w:val="en-US"/>
        </w:rPr>
        <w:t>efore filling, all cylinders shall be visually inspected to detect and isolate from the filling line, all cylinders having dents, cracks, rust or other visible damage that could render the cylinder unsafe for use on the body, valve assembly, foot ring or handle. Defective cylinders shall be repaired by an authorized firm and be tested in accordance with</w:t>
      </w:r>
      <w:r>
        <w:rPr>
          <w:lang w:val="en-US"/>
        </w:rPr>
        <w:t xml:space="preserve"> </w:t>
      </w:r>
      <w:r>
        <w:rPr>
          <w:rFonts w:cs="Arial"/>
          <w:szCs w:val="18"/>
        </w:rPr>
        <w:t>I</w:t>
      </w:r>
      <w:r w:rsidRPr="00802759">
        <w:rPr>
          <w:rFonts w:cs="Arial"/>
          <w:szCs w:val="18"/>
        </w:rPr>
        <w:t>SO 10464</w:t>
      </w:r>
      <w:r>
        <w:rPr>
          <w:rFonts w:cs="Arial"/>
          <w:szCs w:val="18"/>
        </w:rPr>
        <w:t>.</w:t>
      </w:r>
    </w:p>
    <w:p w14:paraId="7B3A3FA4" w14:textId="77777777" w:rsidR="00A67B18" w:rsidRDefault="00A67B18" w:rsidP="00A67B18">
      <w:pPr>
        <w:pStyle w:val="TermNum"/>
        <w:rPr>
          <w:sz w:val="22"/>
          <w:szCs w:val="22"/>
        </w:rPr>
      </w:pPr>
    </w:p>
    <w:p w14:paraId="04A87882" w14:textId="77777777" w:rsidR="00A67B18" w:rsidRDefault="00A67B18" w:rsidP="00A67B18">
      <w:pPr>
        <w:pStyle w:val="TermNum"/>
        <w:rPr>
          <w:sz w:val="22"/>
          <w:szCs w:val="22"/>
        </w:rPr>
      </w:pPr>
    </w:p>
    <w:p w14:paraId="4E23C581" w14:textId="77777777" w:rsidR="00A67B18" w:rsidRPr="00A57F7B" w:rsidRDefault="00A67B18" w:rsidP="00A67B18">
      <w:pPr>
        <w:pStyle w:val="TermNum"/>
        <w:rPr>
          <w:bCs/>
          <w:sz w:val="22"/>
          <w:szCs w:val="22"/>
        </w:rPr>
      </w:pPr>
      <w:r w:rsidRPr="00A57F7B">
        <w:rPr>
          <w:sz w:val="22"/>
          <w:szCs w:val="22"/>
        </w:rPr>
        <w:t>4.2</w:t>
      </w:r>
      <w:r w:rsidRPr="00A57F7B">
        <w:rPr>
          <w:sz w:val="22"/>
          <w:szCs w:val="22"/>
        </w:rPr>
        <w:tab/>
      </w:r>
      <w:r w:rsidRPr="00A57F7B">
        <w:rPr>
          <w:bCs/>
          <w:sz w:val="22"/>
          <w:szCs w:val="22"/>
        </w:rPr>
        <w:t>Weighing scales</w:t>
      </w:r>
    </w:p>
    <w:p w14:paraId="4D5CBB22" w14:textId="77777777" w:rsidR="00A67B18" w:rsidRDefault="00A67B18" w:rsidP="00A67B18"/>
    <w:p w14:paraId="7983D5F3" w14:textId="77777777" w:rsidR="00A67B18" w:rsidRDefault="00A67B18" w:rsidP="00A67B18">
      <w:r w:rsidRPr="00BB713A">
        <w:lastRenderedPageBreak/>
        <w:t xml:space="preserve">Balances used for filling of gas cylinders shall be subjected to calibration at least once every twelve months by </w:t>
      </w:r>
      <w:r>
        <w:t xml:space="preserve">authority </w:t>
      </w:r>
      <w:r w:rsidRPr="00A67B18">
        <w:t xml:space="preserve">responsible for </w:t>
      </w:r>
      <w:r w:rsidRPr="00BB713A">
        <w:t>weights and measure</w:t>
      </w:r>
      <w:r>
        <w:t>s</w:t>
      </w:r>
      <w:r w:rsidRPr="00BB713A">
        <w:t xml:space="preserve"> </w:t>
      </w:r>
      <w:r>
        <w:t>in</w:t>
      </w:r>
      <w:r w:rsidRPr="00BB713A">
        <w:t xml:space="preserve"> each partner states in order to ascertain their continued accuracy</w:t>
      </w:r>
    </w:p>
    <w:p w14:paraId="51B3B9DF" w14:textId="77777777" w:rsidR="00A67B18" w:rsidRPr="000767AC" w:rsidRDefault="00A67B18" w:rsidP="00A67B18">
      <w:pPr>
        <w:rPr>
          <w:sz w:val="18"/>
          <w:szCs w:val="18"/>
        </w:rPr>
      </w:pPr>
      <w:r w:rsidRPr="0071573D">
        <w:rPr>
          <w:sz w:val="18"/>
          <w:szCs w:val="18"/>
        </w:rPr>
        <w:t>NOTE</w:t>
      </w:r>
      <w:r w:rsidRPr="000767AC">
        <w:rPr>
          <w:sz w:val="18"/>
          <w:szCs w:val="18"/>
        </w:rPr>
        <w:t xml:space="preserve"> A</w:t>
      </w:r>
      <w:r w:rsidRPr="0071573D">
        <w:rPr>
          <w:sz w:val="18"/>
          <w:szCs w:val="18"/>
        </w:rPr>
        <w:t>: Calibration may also be done at accredit</w:t>
      </w:r>
      <w:r w:rsidRPr="000767AC">
        <w:rPr>
          <w:sz w:val="18"/>
          <w:szCs w:val="18"/>
        </w:rPr>
        <w:t>ed</w:t>
      </w:r>
      <w:r w:rsidRPr="0071573D">
        <w:rPr>
          <w:sz w:val="18"/>
          <w:szCs w:val="18"/>
        </w:rPr>
        <w:t xml:space="preserve"> centres in partner states</w:t>
      </w:r>
    </w:p>
    <w:p w14:paraId="76EE7DBE" w14:textId="1D2D98B7" w:rsidR="00A67B18" w:rsidRPr="00A57F7B" w:rsidRDefault="009B188F" w:rsidP="00A67B18">
      <w:pPr>
        <w:pStyle w:val="TermNum"/>
        <w:rPr>
          <w:sz w:val="22"/>
          <w:szCs w:val="22"/>
        </w:rPr>
      </w:pPr>
      <w:r w:rsidRPr="00A57F7B">
        <w:rPr>
          <w:sz w:val="22"/>
          <w:szCs w:val="22"/>
        </w:rPr>
        <w:t>4.3</w:t>
      </w:r>
      <w:r>
        <w:rPr>
          <w:sz w:val="22"/>
          <w:szCs w:val="22"/>
        </w:rPr>
        <w:t xml:space="preserve"> C</w:t>
      </w:r>
      <w:r w:rsidRPr="00A57F7B">
        <w:rPr>
          <w:sz w:val="22"/>
          <w:szCs w:val="22"/>
        </w:rPr>
        <w:t>ylinder</w:t>
      </w:r>
      <w:r w:rsidR="00A67B18" w:rsidRPr="00A57F7B">
        <w:rPr>
          <w:sz w:val="22"/>
          <w:szCs w:val="22"/>
        </w:rPr>
        <w:t xml:space="preserve"> capacities </w:t>
      </w:r>
    </w:p>
    <w:p w14:paraId="365AEB25" w14:textId="77777777" w:rsidR="00A67B18" w:rsidRPr="00D05DAC" w:rsidRDefault="00A67B18" w:rsidP="00A67B18">
      <w:pPr>
        <w:pStyle w:val="Definition"/>
      </w:pPr>
      <w:r>
        <w:t>T</w:t>
      </w:r>
      <w:r w:rsidRPr="00D05DAC">
        <w:t xml:space="preserve">he filler shall ensure that </w:t>
      </w:r>
      <w:r>
        <w:t xml:space="preserve">the </w:t>
      </w:r>
      <w:r w:rsidRPr="00D05DAC">
        <w:t>mass of gas in cylinders is accurate within ± 1 % of the declared capacities</w:t>
      </w:r>
    </w:p>
    <w:p w14:paraId="58FBAD80" w14:textId="1FD62222" w:rsidR="00A67B18" w:rsidRPr="00A57F7B" w:rsidRDefault="00A67B18" w:rsidP="00A67B18">
      <w:pPr>
        <w:pStyle w:val="TermNum"/>
        <w:rPr>
          <w:sz w:val="22"/>
          <w:szCs w:val="22"/>
        </w:rPr>
      </w:pPr>
      <w:r w:rsidRPr="00A57F7B">
        <w:rPr>
          <w:sz w:val="22"/>
          <w:szCs w:val="22"/>
        </w:rPr>
        <w:t>4.4</w:t>
      </w:r>
      <w:r w:rsidR="009B188F">
        <w:rPr>
          <w:sz w:val="22"/>
          <w:szCs w:val="22"/>
        </w:rPr>
        <w:t xml:space="preserve"> L</w:t>
      </w:r>
      <w:r w:rsidRPr="00A57F7B">
        <w:rPr>
          <w:sz w:val="22"/>
          <w:szCs w:val="22"/>
        </w:rPr>
        <w:t xml:space="preserve">eakages </w:t>
      </w:r>
    </w:p>
    <w:p w14:paraId="4A3BF725" w14:textId="77777777" w:rsidR="00A67B18" w:rsidRPr="00D05DAC" w:rsidRDefault="00A67B18" w:rsidP="00A67B18">
      <w:pPr>
        <w:pStyle w:val="Definition"/>
      </w:pPr>
      <w:r>
        <w:t>T</w:t>
      </w:r>
      <w:r w:rsidRPr="00D05DAC">
        <w:t>he filler shall ascertain that there are no leakages in filled cylinders either from valves, valve and bang joints or elsewhere on the body</w:t>
      </w:r>
    </w:p>
    <w:p w14:paraId="798512A4" w14:textId="77777777" w:rsidR="00A67B18" w:rsidRPr="00A57F7B" w:rsidRDefault="00A67B18" w:rsidP="00A67B18">
      <w:pPr>
        <w:pStyle w:val="TermNum"/>
        <w:rPr>
          <w:sz w:val="22"/>
          <w:szCs w:val="22"/>
        </w:rPr>
      </w:pPr>
      <w:r w:rsidRPr="00A57F7B">
        <w:rPr>
          <w:sz w:val="22"/>
          <w:szCs w:val="22"/>
        </w:rPr>
        <w:t>4.5</w:t>
      </w:r>
      <w:r w:rsidRPr="00A57F7B">
        <w:rPr>
          <w:sz w:val="22"/>
          <w:szCs w:val="22"/>
        </w:rPr>
        <w:tab/>
        <w:t xml:space="preserve">valve seal </w:t>
      </w:r>
    </w:p>
    <w:p w14:paraId="0129135F" w14:textId="77777777" w:rsidR="00A67B18" w:rsidRPr="00D05DAC" w:rsidRDefault="00A67B18" w:rsidP="00A67B18">
      <w:pPr>
        <w:pStyle w:val="Definition"/>
      </w:pPr>
      <w:r>
        <w:t>T</w:t>
      </w:r>
      <w:r w:rsidRPr="00D05DAC">
        <w:t xml:space="preserve">he filler shall ensure that each cylinder has a serviceable rubber valve seal to ensure a leak free valve-to-regulator connection. </w:t>
      </w:r>
    </w:p>
    <w:p w14:paraId="1FD8C54F" w14:textId="77777777" w:rsidR="00A67B18" w:rsidRPr="00A57F7B" w:rsidRDefault="00A67B18" w:rsidP="00A67B18">
      <w:pPr>
        <w:pStyle w:val="TermNum"/>
        <w:rPr>
          <w:sz w:val="22"/>
          <w:szCs w:val="22"/>
        </w:rPr>
      </w:pPr>
      <w:r w:rsidRPr="00A57F7B">
        <w:rPr>
          <w:sz w:val="22"/>
          <w:szCs w:val="22"/>
        </w:rPr>
        <w:t>4.6</w:t>
      </w:r>
      <w:r w:rsidRPr="00A57F7B">
        <w:rPr>
          <w:sz w:val="22"/>
          <w:szCs w:val="22"/>
        </w:rPr>
        <w:tab/>
        <w:t xml:space="preserve">loading of cylinders </w:t>
      </w:r>
    </w:p>
    <w:p w14:paraId="5A16181A" w14:textId="77777777" w:rsidR="00A67B18" w:rsidRPr="00E4157F" w:rsidRDefault="00A67B18" w:rsidP="00A67B18">
      <w:pPr>
        <w:pStyle w:val="Definition"/>
      </w:pPr>
      <w:r>
        <w:t>C</w:t>
      </w:r>
      <w:r w:rsidRPr="00D05DAC">
        <w:t xml:space="preserve">ylinders shall be loaded onto </w:t>
      </w:r>
      <w:r w:rsidRPr="002F513E">
        <w:t>ventilated carrier</w:t>
      </w:r>
      <w:r>
        <w:t xml:space="preserve"> </w:t>
      </w:r>
      <w:r w:rsidRPr="00D05DAC">
        <w:t>and be transported in an upright position and in such a manner as to safeguard valves and handles from being damaged</w:t>
      </w:r>
      <w:r>
        <w:t xml:space="preserve"> during transportation.</w:t>
      </w:r>
      <w:r w:rsidRPr="00D05DAC">
        <w:t>. The liquid shall not be allowed to get into contact with the valve while being transported</w:t>
      </w:r>
    </w:p>
    <w:p w14:paraId="1CA78FD3" w14:textId="77777777" w:rsidR="00A67B18" w:rsidRPr="00A57F7B" w:rsidRDefault="00A67B18" w:rsidP="00A67B18">
      <w:pPr>
        <w:pStyle w:val="TermNum"/>
        <w:rPr>
          <w:sz w:val="22"/>
          <w:szCs w:val="22"/>
        </w:rPr>
      </w:pPr>
      <w:r w:rsidRPr="00A57F7B">
        <w:rPr>
          <w:sz w:val="22"/>
          <w:szCs w:val="22"/>
        </w:rPr>
        <w:t>4.7</w:t>
      </w:r>
      <w:r w:rsidRPr="00A57F7B">
        <w:rPr>
          <w:sz w:val="22"/>
          <w:szCs w:val="22"/>
        </w:rPr>
        <w:tab/>
        <w:t xml:space="preserve">warning notice </w:t>
      </w:r>
    </w:p>
    <w:p w14:paraId="634562DF" w14:textId="77777777" w:rsidR="00A67B18" w:rsidRDefault="00A67B18" w:rsidP="00A67B18">
      <w:pPr>
        <w:pStyle w:val="Definition"/>
      </w:pPr>
      <w:r>
        <w:t>A</w:t>
      </w:r>
      <w:r w:rsidRPr="00D05DAC">
        <w:t xml:space="preserve"> warning notice (in</w:t>
      </w:r>
      <w:r>
        <w:t xml:space="preserve"> the national languages in the partner state to which the product is to be traded</w:t>
      </w:r>
      <w:r w:rsidRPr="00D05DAC">
        <w:t>) as shown in Annex A (shall be securely and conspicuously attached to each cylinder before distribution from the filling plant.</w:t>
      </w:r>
      <w:r>
        <w:t xml:space="preserve"> </w:t>
      </w:r>
    </w:p>
    <w:p w14:paraId="77EF0151" w14:textId="77777777" w:rsidR="00A67B18" w:rsidRPr="0071573D" w:rsidRDefault="00A67B18" w:rsidP="00A67B18">
      <w:pPr>
        <w:rPr>
          <w:sz w:val="18"/>
          <w:szCs w:val="18"/>
        </w:rPr>
      </w:pPr>
      <w:r w:rsidRPr="0071573D">
        <w:rPr>
          <w:sz w:val="18"/>
          <w:szCs w:val="18"/>
        </w:rPr>
        <w:t>NOTE: Where the national language is not English the partner states shall interpret Annex A without losing the meaning.</w:t>
      </w:r>
    </w:p>
    <w:p w14:paraId="27126761" w14:textId="77777777" w:rsidR="00A67B18" w:rsidRPr="00A57F7B" w:rsidRDefault="00A67B18" w:rsidP="00A67B18">
      <w:pPr>
        <w:pStyle w:val="TermNum"/>
        <w:rPr>
          <w:sz w:val="22"/>
          <w:szCs w:val="22"/>
        </w:rPr>
      </w:pPr>
      <w:r w:rsidRPr="00A57F7B">
        <w:rPr>
          <w:sz w:val="22"/>
          <w:szCs w:val="22"/>
        </w:rPr>
        <w:t>4.8</w:t>
      </w:r>
      <w:r w:rsidRPr="00A57F7B">
        <w:rPr>
          <w:sz w:val="22"/>
          <w:szCs w:val="22"/>
        </w:rPr>
        <w:tab/>
        <w:t xml:space="preserve">filling authority </w:t>
      </w:r>
    </w:p>
    <w:p w14:paraId="0814BDE6" w14:textId="77777777" w:rsidR="00A67B18" w:rsidRPr="00D05DAC" w:rsidRDefault="00A67B18" w:rsidP="00A67B18">
      <w:pPr>
        <w:pStyle w:val="Definition"/>
      </w:pPr>
      <w:r w:rsidRPr="00D05DAC">
        <w:t>Only cylinder brand owner or an authorized cylinder filling agent (authorized by brand owner through a written contract) shall be allowed to fill the cylinders.</w:t>
      </w:r>
    </w:p>
    <w:p w14:paraId="1EC5C2E0" w14:textId="77777777" w:rsidR="00A67B18" w:rsidRPr="00A67B18" w:rsidRDefault="00A67B18" w:rsidP="00A67B18">
      <w:pPr>
        <w:pStyle w:val="Heading2"/>
        <w:rPr>
          <w:rFonts w:ascii="Arial" w:hAnsi="Arial" w:cs="Arial"/>
          <w:b/>
          <w:bCs/>
          <w:color w:val="auto"/>
          <w:sz w:val="20"/>
          <w:szCs w:val="20"/>
        </w:rPr>
      </w:pPr>
      <w:r w:rsidRPr="00A67B18">
        <w:rPr>
          <w:rFonts w:ascii="Arial" w:hAnsi="Arial" w:cs="Arial"/>
          <w:b/>
          <w:bCs/>
          <w:color w:val="auto"/>
          <w:sz w:val="20"/>
          <w:szCs w:val="20"/>
        </w:rPr>
        <w:t xml:space="preserve">4.9 Valve seal </w:t>
      </w:r>
    </w:p>
    <w:p w14:paraId="23D1C632" w14:textId="77777777" w:rsidR="00A67B18" w:rsidRPr="00A5406D" w:rsidRDefault="00A67B18" w:rsidP="00A67B18">
      <w:pPr>
        <w:rPr>
          <w:lang w:val="en-US"/>
        </w:rPr>
      </w:pPr>
      <w:r w:rsidRPr="00A5406D">
        <w:rPr>
          <w:lang w:val="en-US"/>
        </w:rPr>
        <w:t xml:space="preserve">The </w:t>
      </w:r>
      <w:r>
        <w:rPr>
          <w:lang w:val="en-US"/>
        </w:rPr>
        <w:t xml:space="preserve">filler </w:t>
      </w:r>
      <w:r w:rsidRPr="00A5406D">
        <w:rPr>
          <w:lang w:val="en-US"/>
        </w:rPr>
        <w:t xml:space="preserve">shall ensure that cylinders sold to customers carry a serviceable rubber valve seal at the </w:t>
      </w:r>
      <w:r w:rsidRPr="00390990">
        <w:rPr>
          <w:lang w:val="en-US"/>
        </w:rPr>
        <w:t xml:space="preserve">time of </w:t>
      </w:r>
      <w:r>
        <w:rPr>
          <w:lang w:val="en-US"/>
        </w:rPr>
        <w:t xml:space="preserve"> </w:t>
      </w:r>
      <w:r w:rsidRPr="00F5762A">
        <w:rPr>
          <w:lang w:val="en-US"/>
        </w:rPr>
        <w:t>delivery</w:t>
      </w:r>
      <w:r w:rsidRPr="00390990">
        <w:rPr>
          <w:lang w:val="en-US"/>
        </w:rPr>
        <w:t>.</w:t>
      </w:r>
    </w:p>
    <w:p w14:paraId="41AD3632" w14:textId="77777777" w:rsidR="00A67B18" w:rsidRPr="00A57F7B" w:rsidRDefault="00A67B18" w:rsidP="00A67B18">
      <w:pPr>
        <w:pStyle w:val="TermNum"/>
        <w:rPr>
          <w:sz w:val="22"/>
          <w:szCs w:val="22"/>
        </w:rPr>
      </w:pPr>
      <w:r w:rsidRPr="00A57F7B">
        <w:rPr>
          <w:sz w:val="22"/>
          <w:szCs w:val="22"/>
        </w:rPr>
        <w:t>4.</w:t>
      </w:r>
      <w:r>
        <w:rPr>
          <w:sz w:val="22"/>
          <w:szCs w:val="22"/>
        </w:rPr>
        <w:t>10</w:t>
      </w:r>
      <w:r w:rsidRPr="00A57F7B">
        <w:rPr>
          <w:sz w:val="22"/>
          <w:szCs w:val="22"/>
        </w:rPr>
        <w:tab/>
        <w:t>tamper proof seals</w:t>
      </w:r>
    </w:p>
    <w:p w14:paraId="2D04E153" w14:textId="77777777" w:rsidR="00A67B18" w:rsidRDefault="00A67B18" w:rsidP="00A67B18">
      <w:pPr>
        <w:pStyle w:val="Definition"/>
      </w:pPr>
      <w:r>
        <w:t>C</w:t>
      </w:r>
      <w:r w:rsidRPr="00D05DAC">
        <w:t>ylinder valves shall be capped with brand owner tamper proof seals</w:t>
      </w:r>
    </w:p>
    <w:p w14:paraId="2F44F9BB" w14:textId="77777777" w:rsidR="00A67B18" w:rsidRPr="006620C4" w:rsidRDefault="00A67B18" w:rsidP="00A67B18"/>
    <w:p w14:paraId="042D46D7" w14:textId="77777777" w:rsidR="00A67B18" w:rsidRPr="00A67B18" w:rsidRDefault="00A67B18" w:rsidP="00A67B18">
      <w:pPr>
        <w:pStyle w:val="Heading1"/>
        <w:rPr>
          <w:rFonts w:ascii="Arial" w:hAnsi="Arial" w:cs="Arial"/>
          <w:b/>
          <w:bCs/>
          <w:color w:val="auto"/>
          <w:sz w:val="24"/>
          <w:szCs w:val="24"/>
        </w:rPr>
      </w:pPr>
      <w:r w:rsidRPr="00A67B18">
        <w:rPr>
          <w:rFonts w:ascii="Arial" w:hAnsi="Arial" w:cs="Arial"/>
          <w:b/>
          <w:bCs/>
          <w:color w:val="auto"/>
          <w:sz w:val="24"/>
          <w:szCs w:val="24"/>
        </w:rPr>
        <w:t>5</w:t>
      </w:r>
      <w:r w:rsidRPr="00A67B18">
        <w:rPr>
          <w:rFonts w:ascii="Arial" w:hAnsi="Arial" w:cs="Arial"/>
          <w:b/>
          <w:bCs/>
          <w:color w:val="auto"/>
          <w:sz w:val="24"/>
          <w:szCs w:val="24"/>
        </w:rPr>
        <w:tab/>
        <w:t>Distribution</w:t>
      </w:r>
    </w:p>
    <w:p w14:paraId="580359A8" w14:textId="77777777" w:rsidR="00A67B18" w:rsidRPr="00A67B18" w:rsidRDefault="00A67B18" w:rsidP="00A67B18">
      <w:pPr>
        <w:pStyle w:val="Heading2"/>
        <w:rPr>
          <w:b/>
          <w:bCs/>
          <w:color w:val="auto"/>
          <w:sz w:val="22"/>
          <w:szCs w:val="22"/>
        </w:rPr>
      </w:pPr>
      <w:r w:rsidRPr="00A67B18">
        <w:rPr>
          <w:b/>
          <w:bCs/>
          <w:color w:val="auto"/>
          <w:sz w:val="22"/>
          <w:szCs w:val="22"/>
        </w:rPr>
        <w:t>5.1</w:t>
      </w:r>
      <w:r w:rsidRPr="00A67B18">
        <w:rPr>
          <w:b/>
          <w:bCs/>
          <w:color w:val="auto"/>
          <w:sz w:val="22"/>
          <w:szCs w:val="22"/>
        </w:rPr>
        <w:tab/>
        <w:t xml:space="preserve">Leakages </w:t>
      </w:r>
    </w:p>
    <w:p w14:paraId="13935AAD" w14:textId="77777777" w:rsidR="00A67B18" w:rsidRPr="00A5406D" w:rsidRDefault="00A67B18" w:rsidP="00A67B18">
      <w:pPr>
        <w:rPr>
          <w:lang w:val="en-US"/>
        </w:rPr>
      </w:pPr>
      <w:r w:rsidRPr="00A5406D">
        <w:rPr>
          <w:lang w:val="en-US"/>
        </w:rPr>
        <w:t>The distributor shall check all cylinders received for leaks, preferably using soap solution. Any leaking cylinder shall be returned to the filling plant.</w:t>
      </w:r>
    </w:p>
    <w:p w14:paraId="170A4DC1" w14:textId="77777777" w:rsidR="00A67B18" w:rsidRPr="00A67B18" w:rsidRDefault="00A67B18" w:rsidP="00A67B18">
      <w:pPr>
        <w:pStyle w:val="Heading2"/>
        <w:rPr>
          <w:rFonts w:ascii="Arial" w:hAnsi="Arial" w:cs="Arial"/>
          <w:b/>
          <w:bCs/>
          <w:color w:val="auto"/>
          <w:sz w:val="22"/>
          <w:szCs w:val="22"/>
        </w:rPr>
      </w:pPr>
      <w:r w:rsidRPr="00A67B18">
        <w:rPr>
          <w:rFonts w:ascii="Arial" w:hAnsi="Arial" w:cs="Arial"/>
          <w:b/>
          <w:bCs/>
          <w:color w:val="auto"/>
          <w:sz w:val="22"/>
          <w:szCs w:val="22"/>
        </w:rPr>
        <w:t>5.2</w:t>
      </w:r>
      <w:r w:rsidRPr="00A67B18">
        <w:rPr>
          <w:rFonts w:ascii="Arial" w:hAnsi="Arial" w:cs="Arial"/>
          <w:b/>
          <w:bCs/>
          <w:color w:val="auto"/>
          <w:sz w:val="22"/>
          <w:szCs w:val="22"/>
        </w:rPr>
        <w:tab/>
        <w:t xml:space="preserve">Visual Inspection </w:t>
      </w:r>
    </w:p>
    <w:p w14:paraId="0155B3B8" w14:textId="7640E2DF" w:rsidR="00A67B18" w:rsidRPr="00A5406D" w:rsidRDefault="00A67B18" w:rsidP="00A67B18">
      <w:pPr>
        <w:rPr>
          <w:lang w:val="en-US"/>
        </w:rPr>
      </w:pPr>
      <w:r w:rsidRPr="00A5406D">
        <w:rPr>
          <w:lang w:val="en-US"/>
        </w:rPr>
        <w:t xml:space="preserve">The distributor shall identify cylinders which have physical damages through visual inspections as those given </w:t>
      </w:r>
      <w:r>
        <w:rPr>
          <w:lang w:val="en-US"/>
        </w:rPr>
        <w:t xml:space="preserve">in clause 4.1 </w:t>
      </w:r>
      <w:r w:rsidRPr="00A5406D">
        <w:rPr>
          <w:lang w:val="en-US"/>
        </w:rPr>
        <w:t>and return them to the</w:t>
      </w:r>
      <w:r>
        <w:rPr>
          <w:lang w:val="en-US"/>
        </w:rPr>
        <w:t xml:space="preserve"> filling plant</w:t>
      </w:r>
      <w:r w:rsidRPr="00A5406D">
        <w:rPr>
          <w:lang w:val="en-US"/>
        </w:rPr>
        <w:t>.</w:t>
      </w:r>
    </w:p>
    <w:p w14:paraId="4FDC3BB6" w14:textId="77777777" w:rsidR="00A67B18" w:rsidRPr="00A67B18" w:rsidRDefault="00A67B18" w:rsidP="00A67B18">
      <w:pPr>
        <w:pStyle w:val="Heading2"/>
        <w:rPr>
          <w:b/>
          <w:bCs/>
          <w:color w:val="auto"/>
          <w:sz w:val="22"/>
          <w:szCs w:val="22"/>
        </w:rPr>
      </w:pPr>
      <w:r w:rsidRPr="00A67B18">
        <w:rPr>
          <w:b/>
          <w:bCs/>
          <w:color w:val="auto"/>
          <w:sz w:val="22"/>
          <w:szCs w:val="22"/>
        </w:rPr>
        <w:t>5.3</w:t>
      </w:r>
      <w:r w:rsidRPr="00A67B18">
        <w:rPr>
          <w:b/>
          <w:bCs/>
          <w:color w:val="auto"/>
          <w:sz w:val="22"/>
          <w:szCs w:val="22"/>
        </w:rPr>
        <w:tab/>
        <w:t>Transportation and storage</w:t>
      </w:r>
    </w:p>
    <w:p w14:paraId="4EEB92DA" w14:textId="38A2EE90" w:rsidR="00A67B18" w:rsidRPr="00A5406D" w:rsidRDefault="00A67B18" w:rsidP="00A67B18">
      <w:pPr>
        <w:rPr>
          <w:lang w:val="en-US"/>
        </w:rPr>
      </w:pPr>
      <w:r w:rsidRPr="00A5406D">
        <w:rPr>
          <w:lang w:val="en-US"/>
        </w:rPr>
        <w:t>The distributor shall transport and store cylinders in a well-ventilated facility, in an upright position and in such a manner as to safeguard valves and handles from being damaged.</w:t>
      </w:r>
    </w:p>
    <w:p w14:paraId="3E6DA36A" w14:textId="77777777" w:rsidR="00A67B18" w:rsidRPr="00A67B18" w:rsidRDefault="00A67B18" w:rsidP="00A67B18">
      <w:pPr>
        <w:pStyle w:val="Heading2"/>
        <w:rPr>
          <w:b/>
          <w:bCs/>
          <w:color w:val="auto"/>
          <w:sz w:val="22"/>
          <w:szCs w:val="22"/>
        </w:rPr>
      </w:pPr>
      <w:r w:rsidRPr="00A67B18">
        <w:rPr>
          <w:b/>
          <w:bCs/>
          <w:color w:val="auto"/>
          <w:sz w:val="22"/>
          <w:szCs w:val="22"/>
        </w:rPr>
        <w:lastRenderedPageBreak/>
        <w:t>5.4</w:t>
      </w:r>
      <w:r w:rsidRPr="00A67B18">
        <w:rPr>
          <w:b/>
          <w:bCs/>
          <w:color w:val="auto"/>
          <w:sz w:val="22"/>
          <w:szCs w:val="22"/>
        </w:rPr>
        <w:tab/>
        <w:t>Warning notice</w:t>
      </w:r>
    </w:p>
    <w:p w14:paraId="0F22FAC5" w14:textId="77777777" w:rsidR="00A67B18" w:rsidRDefault="00A67B18" w:rsidP="00A67B18">
      <w:pPr>
        <w:rPr>
          <w:lang w:val="en-US"/>
        </w:rPr>
      </w:pPr>
      <w:r w:rsidRPr="00A5406D">
        <w:rPr>
          <w:lang w:val="en-US"/>
        </w:rPr>
        <w:t xml:space="preserve">The distributor shall ascertain the presence of the conspicuous warning notice </w:t>
      </w:r>
      <w:r>
        <w:rPr>
          <w:lang w:val="en-US"/>
        </w:rPr>
        <w:t xml:space="preserve">as in clause 4.7 </w:t>
      </w:r>
      <w:r w:rsidRPr="00A5406D">
        <w:rPr>
          <w:lang w:val="en-US"/>
        </w:rPr>
        <w:t>on each cylinder</w:t>
      </w:r>
      <w:r>
        <w:rPr>
          <w:lang w:val="en-US"/>
        </w:rPr>
        <w:t>.</w:t>
      </w:r>
      <w:r w:rsidRPr="00A5406D">
        <w:rPr>
          <w:lang w:val="en-US"/>
        </w:rPr>
        <w:t xml:space="preserve"> </w:t>
      </w:r>
    </w:p>
    <w:p w14:paraId="4BFB0233" w14:textId="77777777" w:rsidR="00A67B18" w:rsidRPr="00A67B18" w:rsidRDefault="00A67B18" w:rsidP="00A67B18">
      <w:pPr>
        <w:pStyle w:val="Heading1"/>
        <w:rPr>
          <w:rFonts w:ascii="Arial" w:hAnsi="Arial" w:cs="Arial"/>
          <w:b/>
          <w:bCs/>
          <w:color w:val="auto"/>
          <w:sz w:val="24"/>
          <w:szCs w:val="24"/>
        </w:rPr>
      </w:pPr>
      <w:r w:rsidRPr="00A67B18">
        <w:rPr>
          <w:rFonts w:ascii="Arial" w:hAnsi="Arial" w:cs="Arial"/>
          <w:b/>
          <w:bCs/>
          <w:color w:val="auto"/>
          <w:sz w:val="24"/>
          <w:szCs w:val="24"/>
        </w:rPr>
        <w:t>6</w:t>
      </w:r>
      <w:r w:rsidRPr="00A67B18">
        <w:rPr>
          <w:rFonts w:ascii="Arial" w:hAnsi="Arial" w:cs="Arial"/>
          <w:b/>
          <w:bCs/>
          <w:color w:val="auto"/>
          <w:sz w:val="24"/>
          <w:szCs w:val="24"/>
        </w:rPr>
        <w:tab/>
        <w:t>Retailing</w:t>
      </w:r>
    </w:p>
    <w:p w14:paraId="779045ED" w14:textId="77777777" w:rsidR="00A67B18" w:rsidRPr="00A67B18" w:rsidRDefault="00A67B18" w:rsidP="00A67B18">
      <w:pPr>
        <w:pStyle w:val="Heading2"/>
        <w:rPr>
          <w:rFonts w:ascii="Arial" w:hAnsi="Arial" w:cs="Arial"/>
          <w:b/>
          <w:bCs/>
          <w:color w:val="auto"/>
          <w:sz w:val="22"/>
          <w:szCs w:val="22"/>
        </w:rPr>
      </w:pPr>
      <w:r w:rsidRPr="00A67B18">
        <w:rPr>
          <w:rFonts w:ascii="Arial" w:hAnsi="Arial" w:cs="Arial"/>
          <w:b/>
          <w:bCs/>
          <w:color w:val="auto"/>
          <w:sz w:val="22"/>
          <w:szCs w:val="22"/>
        </w:rPr>
        <w:t>6.1</w:t>
      </w:r>
      <w:r w:rsidRPr="00A67B18">
        <w:rPr>
          <w:rFonts w:ascii="Arial" w:hAnsi="Arial" w:cs="Arial"/>
          <w:b/>
          <w:bCs/>
          <w:color w:val="auto"/>
          <w:sz w:val="22"/>
          <w:szCs w:val="22"/>
        </w:rPr>
        <w:tab/>
        <w:t xml:space="preserve">Leakages </w:t>
      </w:r>
    </w:p>
    <w:p w14:paraId="74D78869" w14:textId="77777777" w:rsidR="00A67B18" w:rsidRPr="00A5406D" w:rsidRDefault="00A67B18" w:rsidP="00A67B18">
      <w:pPr>
        <w:rPr>
          <w:lang w:val="en-US"/>
        </w:rPr>
      </w:pPr>
      <w:r w:rsidRPr="00A5406D">
        <w:rPr>
          <w:lang w:val="en-US"/>
        </w:rPr>
        <w:t>The retailer shall ensure that cylinders sold to customers are not leaking at the time of delivery to/or collection by the customer.</w:t>
      </w:r>
    </w:p>
    <w:p w14:paraId="0B9912F8" w14:textId="77777777" w:rsidR="00A67B18" w:rsidRPr="00A67B18" w:rsidRDefault="00A67B18" w:rsidP="00A67B18">
      <w:pPr>
        <w:pStyle w:val="Heading2"/>
        <w:rPr>
          <w:b/>
          <w:bCs/>
          <w:color w:val="auto"/>
          <w:sz w:val="22"/>
          <w:szCs w:val="22"/>
        </w:rPr>
      </w:pPr>
      <w:r w:rsidRPr="00A67B18">
        <w:rPr>
          <w:b/>
          <w:bCs/>
          <w:color w:val="auto"/>
          <w:sz w:val="22"/>
          <w:szCs w:val="22"/>
        </w:rPr>
        <w:t>6.2</w:t>
      </w:r>
      <w:r w:rsidRPr="00A67B18">
        <w:rPr>
          <w:b/>
          <w:bCs/>
          <w:color w:val="auto"/>
          <w:sz w:val="22"/>
          <w:szCs w:val="22"/>
        </w:rPr>
        <w:tab/>
        <w:t xml:space="preserve">Warning notice </w:t>
      </w:r>
    </w:p>
    <w:p w14:paraId="0A795A16" w14:textId="77777777" w:rsidR="00A67B18" w:rsidRPr="00A5406D" w:rsidRDefault="00A67B18" w:rsidP="00A67B18">
      <w:pPr>
        <w:rPr>
          <w:lang w:val="en-US"/>
        </w:rPr>
      </w:pPr>
      <w:r w:rsidRPr="00A5406D">
        <w:rPr>
          <w:lang w:val="en-US"/>
        </w:rPr>
        <w:t>The retailer shall ensure that all cylinders carry legible and conspicuous warnings</w:t>
      </w:r>
      <w:r>
        <w:rPr>
          <w:lang w:val="en-US"/>
        </w:rPr>
        <w:t xml:space="preserve"> as in clause 4.7. </w:t>
      </w:r>
      <w:r w:rsidRPr="00A5406D">
        <w:rPr>
          <w:lang w:val="en-US"/>
        </w:rPr>
        <w:t>.</w:t>
      </w:r>
    </w:p>
    <w:p w14:paraId="6C81B4FD" w14:textId="5BE3DDDC" w:rsidR="00A67B18" w:rsidRPr="00A57F7B" w:rsidRDefault="00A67B18" w:rsidP="00A67B18">
      <w:pPr>
        <w:pStyle w:val="TermNum"/>
        <w:rPr>
          <w:sz w:val="22"/>
          <w:szCs w:val="22"/>
        </w:rPr>
      </w:pPr>
      <w:r>
        <w:rPr>
          <w:lang w:val="en-US"/>
        </w:rPr>
        <w:t>6.3</w:t>
      </w:r>
      <w:r w:rsidRPr="006620C4">
        <w:rPr>
          <w:sz w:val="22"/>
          <w:szCs w:val="22"/>
        </w:rPr>
        <w:t xml:space="preserve"> </w:t>
      </w:r>
      <w:r>
        <w:rPr>
          <w:sz w:val="22"/>
          <w:szCs w:val="22"/>
        </w:rPr>
        <w:t xml:space="preserve">   </w:t>
      </w:r>
      <w:r w:rsidRPr="00A57F7B">
        <w:rPr>
          <w:sz w:val="22"/>
          <w:szCs w:val="22"/>
        </w:rPr>
        <w:t>tamper proof seals</w:t>
      </w:r>
    </w:p>
    <w:p w14:paraId="47093430" w14:textId="77777777" w:rsidR="00A67B18" w:rsidRDefault="00A67B18" w:rsidP="00A67B18">
      <w:pPr>
        <w:pStyle w:val="Definition"/>
      </w:pPr>
      <w:r>
        <w:t>The retailer shall ensure that the c</w:t>
      </w:r>
      <w:r w:rsidRPr="00D05DAC">
        <w:t xml:space="preserve">ylinder valve </w:t>
      </w:r>
      <w:r>
        <w:t>is</w:t>
      </w:r>
      <w:r w:rsidRPr="00D05DAC">
        <w:t xml:space="preserve"> capped with brand owner tamper proof seals</w:t>
      </w:r>
      <w:r>
        <w:t>.</w:t>
      </w:r>
    </w:p>
    <w:p w14:paraId="4723ED07" w14:textId="77777777" w:rsidR="00A67B18" w:rsidRPr="00A67B18" w:rsidRDefault="00A67B18" w:rsidP="00A67B18">
      <w:pPr>
        <w:pStyle w:val="Heading2"/>
        <w:rPr>
          <w:rFonts w:ascii="Arial" w:hAnsi="Arial" w:cs="Arial"/>
          <w:b/>
          <w:bCs/>
          <w:color w:val="auto"/>
          <w:sz w:val="22"/>
          <w:szCs w:val="22"/>
        </w:rPr>
      </w:pPr>
      <w:r w:rsidRPr="00A67B18">
        <w:rPr>
          <w:rFonts w:ascii="Arial" w:hAnsi="Arial" w:cs="Arial"/>
          <w:b/>
          <w:bCs/>
          <w:color w:val="auto"/>
          <w:sz w:val="22"/>
          <w:szCs w:val="22"/>
        </w:rPr>
        <w:t>6.4</w:t>
      </w:r>
      <w:r w:rsidRPr="00A67B18">
        <w:rPr>
          <w:rFonts w:ascii="Arial" w:hAnsi="Arial" w:cs="Arial"/>
          <w:b/>
          <w:bCs/>
          <w:color w:val="auto"/>
          <w:sz w:val="22"/>
          <w:szCs w:val="22"/>
        </w:rPr>
        <w:tab/>
        <w:t xml:space="preserve">Receipts  </w:t>
      </w:r>
    </w:p>
    <w:p w14:paraId="48490C58" w14:textId="77777777" w:rsidR="00A67B18" w:rsidRPr="00A5406D" w:rsidRDefault="00A67B18" w:rsidP="00A67B18">
      <w:pPr>
        <w:rPr>
          <w:lang w:val="en-US"/>
        </w:rPr>
      </w:pPr>
      <w:r w:rsidRPr="00A5406D">
        <w:rPr>
          <w:lang w:val="en-US"/>
        </w:rPr>
        <w:t>Receipts shall be issued for all cylinders sold to customers and shall contain cylinder serial number.</w:t>
      </w:r>
    </w:p>
    <w:p w14:paraId="356B6DE7" w14:textId="77777777" w:rsidR="00A67B18" w:rsidRPr="00A67B18" w:rsidRDefault="00A67B18" w:rsidP="00A67B18">
      <w:pPr>
        <w:pStyle w:val="Heading2"/>
        <w:rPr>
          <w:rFonts w:ascii="Arial" w:hAnsi="Arial" w:cs="Arial"/>
          <w:b/>
          <w:bCs/>
          <w:color w:val="auto"/>
          <w:sz w:val="22"/>
          <w:szCs w:val="22"/>
        </w:rPr>
      </w:pPr>
      <w:r w:rsidRPr="00A67B18">
        <w:rPr>
          <w:rFonts w:ascii="Arial" w:hAnsi="Arial" w:cs="Arial"/>
          <w:b/>
          <w:bCs/>
          <w:color w:val="auto"/>
          <w:sz w:val="22"/>
          <w:szCs w:val="22"/>
        </w:rPr>
        <w:t>6.5</w:t>
      </w:r>
      <w:r w:rsidRPr="00A67B18">
        <w:rPr>
          <w:rFonts w:ascii="Arial" w:hAnsi="Arial" w:cs="Arial"/>
          <w:b/>
          <w:bCs/>
          <w:color w:val="auto"/>
          <w:sz w:val="22"/>
          <w:szCs w:val="22"/>
        </w:rPr>
        <w:tab/>
        <w:t xml:space="preserve">Weighing scales </w:t>
      </w:r>
    </w:p>
    <w:p w14:paraId="7563F9E7" w14:textId="77777777" w:rsidR="00A67B18" w:rsidRDefault="00A67B18" w:rsidP="00A67B18">
      <w:pPr>
        <w:rPr>
          <w:lang w:val="en-US"/>
        </w:rPr>
      </w:pPr>
      <w:r w:rsidRPr="00A5406D">
        <w:rPr>
          <w:lang w:val="en-US"/>
        </w:rPr>
        <w:t>Weighing scales/balances shall be provided at retail outlets to give estimates of</w:t>
      </w:r>
      <w:r>
        <w:rPr>
          <w:lang w:val="en-US"/>
        </w:rPr>
        <w:t xml:space="preserve"> gross weight in kg of the </w:t>
      </w:r>
      <w:r w:rsidRPr="00A5406D">
        <w:rPr>
          <w:lang w:val="en-US"/>
        </w:rPr>
        <w:t xml:space="preserve">gas. </w:t>
      </w:r>
    </w:p>
    <w:p w14:paraId="1776FB98" w14:textId="77777777" w:rsidR="00A67B18" w:rsidRPr="0007037D" w:rsidRDefault="00A67B18" w:rsidP="00A67B18">
      <w:pPr>
        <w:pStyle w:val="ANNEX"/>
      </w:pPr>
      <w:bookmarkStart w:id="19" w:name="_Toc450303222"/>
      <w:bookmarkStart w:id="20" w:name="_Toc165973819"/>
      <w:r w:rsidRPr="0007037D">
        <w:lastRenderedPageBreak/>
        <w:t xml:space="preserve">Annex A </w:t>
      </w:r>
      <w:r w:rsidRPr="0007037D">
        <w:br/>
      </w:r>
      <w:bookmarkStart w:id="21" w:name="_Toc438968655"/>
      <w:bookmarkStart w:id="22" w:name="_Toc443461103"/>
      <w:r w:rsidRPr="00AD54E3">
        <w:t>(normative)</w:t>
      </w:r>
      <w:r w:rsidRPr="00AD54E3">
        <w:br/>
      </w:r>
      <w:r w:rsidRPr="006E3F56">
        <w:br/>
      </w:r>
      <w:bookmarkEnd w:id="19"/>
      <w:bookmarkEnd w:id="20"/>
      <w:bookmarkEnd w:id="21"/>
      <w:bookmarkEnd w:id="22"/>
      <w:r w:rsidRPr="00A5406D">
        <w:t>Warning notice</w:t>
      </w:r>
    </w:p>
    <w:p w14:paraId="4A9EC69E" w14:textId="77777777" w:rsidR="00A67B18" w:rsidRPr="001F2223" w:rsidRDefault="00A67B18" w:rsidP="00A67B18">
      <w:pPr>
        <w:pStyle w:val="p2"/>
        <w:rPr>
          <w:rFonts w:eastAsia="Arial Unicode MS"/>
          <w:b/>
          <w:bCs/>
        </w:rPr>
      </w:pPr>
      <w:r w:rsidRPr="001F2223">
        <w:rPr>
          <w:rFonts w:eastAsia="Arial Unicode MS"/>
          <w:b/>
          <w:bCs/>
        </w:rPr>
        <w:t>A.1</w:t>
      </w:r>
      <w:r w:rsidRPr="001F2223">
        <w:rPr>
          <w:rFonts w:eastAsia="Arial Unicode MS"/>
          <w:b/>
          <w:bCs/>
        </w:rPr>
        <w:tab/>
        <w:t>Transport, store and use in upright position.</w:t>
      </w:r>
    </w:p>
    <w:p w14:paraId="4836716A" w14:textId="77777777" w:rsidR="00A67B18" w:rsidRPr="00A5406D" w:rsidRDefault="00A67B18" w:rsidP="00A67B18">
      <w:pPr>
        <w:rPr>
          <w:rFonts w:eastAsia="Arial Unicode MS"/>
        </w:rPr>
      </w:pPr>
      <w:r w:rsidRPr="00A5406D">
        <w:rPr>
          <w:rFonts w:eastAsia="Arial Unicode MS"/>
        </w:rPr>
        <w:t>Do not store or keep near open fire.</w:t>
      </w:r>
    </w:p>
    <w:p w14:paraId="6BA9DD6D" w14:textId="77777777" w:rsidR="00A67B18" w:rsidRPr="001F2223" w:rsidRDefault="00A67B18" w:rsidP="00A67B18">
      <w:pPr>
        <w:pStyle w:val="p2"/>
        <w:rPr>
          <w:rFonts w:eastAsia="Arial Unicode MS"/>
          <w:b/>
          <w:bCs/>
        </w:rPr>
      </w:pPr>
      <w:r w:rsidRPr="001F2223">
        <w:rPr>
          <w:rFonts w:eastAsia="Arial Unicode MS"/>
          <w:b/>
          <w:bCs/>
        </w:rPr>
        <w:t>A.2</w:t>
      </w:r>
      <w:r w:rsidRPr="001F2223">
        <w:rPr>
          <w:rFonts w:eastAsia="Arial Unicode MS"/>
          <w:b/>
          <w:bCs/>
        </w:rPr>
        <w:tab/>
        <w:t xml:space="preserve">In case of gas </w:t>
      </w:r>
      <w:r w:rsidRPr="006479B8">
        <w:rPr>
          <w:rFonts w:eastAsia="Arial Unicode MS"/>
          <w:b/>
          <w:bCs/>
        </w:rPr>
        <w:t>leakage distinctive</w:t>
      </w:r>
      <w:r w:rsidRPr="001F2223">
        <w:rPr>
          <w:rFonts w:eastAsia="Arial Unicode MS"/>
          <w:b/>
          <w:bCs/>
        </w:rPr>
        <w:t xml:space="preserve"> smell</w:t>
      </w:r>
    </w:p>
    <w:p w14:paraId="6EA08A58" w14:textId="77777777" w:rsidR="00A67B18" w:rsidRPr="00A5406D" w:rsidRDefault="00A67B18" w:rsidP="00A67B18">
      <w:pPr>
        <w:pStyle w:val="ListNumber"/>
        <w:rPr>
          <w:rFonts w:eastAsia="Arial Unicode MS"/>
        </w:rPr>
      </w:pPr>
      <w:r w:rsidRPr="00A5406D">
        <w:rPr>
          <w:rFonts w:eastAsia="Arial Unicode MS"/>
        </w:rPr>
        <w:t>a)</w:t>
      </w:r>
      <w:r w:rsidRPr="00A5406D">
        <w:rPr>
          <w:rFonts w:eastAsia="Arial Unicode MS"/>
        </w:rPr>
        <w:tab/>
        <w:t>Do not operate electrical switches.</w:t>
      </w:r>
    </w:p>
    <w:p w14:paraId="1FE8339A" w14:textId="77777777" w:rsidR="00A67B18" w:rsidRPr="00A5406D" w:rsidRDefault="00A67B18" w:rsidP="00A67B18">
      <w:pPr>
        <w:pStyle w:val="ListNumber"/>
        <w:rPr>
          <w:rFonts w:eastAsia="Arial Unicode MS"/>
        </w:rPr>
      </w:pPr>
      <w:r w:rsidRPr="00A5406D">
        <w:rPr>
          <w:rFonts w:eastAsia="Arial Unicode MS"/>
        </w:rPr>
        <w:t>b)</w:t>
      </w:r>
      <w:r w:rsidRPr="00A5406D">
        <w:rPr>
          <w:rFonts w:eastAsia="Arial Unicode MS"/>
        </w:rPr>
        <w:tab/>
        <w:t xml:space="preserve">Never </w:t>
      </w:r>
      <w:r>
        <w:rPr>
          <w:rFonts w:eastAsia="Arial Unicode MS"/>
        </w:rPr>
        <w:t xml:space="preserve">check </w:t>
      </w:r>
      <w:r w:rsidRPr="00A5406D">
        <w:rPr>
          <w:rFonts w:eastAsia="Arial Unicode MS"/>
        </w:rPr>
        <w:t>for a leak with a naked flame.</w:t>
      </w:r>
    </w:p>
    <w:p w14:paraId="2A10687F" w14:textId="77777777" w:rsidR="00A67B18" w:rsidRPr="00A5406D" w:rsidRDefault="00A67B18" w:rsidP="00A67B18">
      <w:pPr>
        <w:pStyle w:val="ListNumber"/>
        <w:rPr>
          <w:rFonts w:eastAsia="Arial Unicode MS"/>
        </w:rPr>
      </w:pPr>
      <w:r>
        <w:rPr>
          <w:rFonts w:eastAsia="Arial Unicode MS"/>
        </w:rPr>
        <w:t>c</w:t>
      </w:r>
      <w:r w:rsidRPr="00A5406D">
        <w:rPr>
          <w:rFonts w:eastAsia="Arial Unicode MS"/>
        </w:rPr>
        <w:t>)</w:t>
      </w:r>
      <w:r w:rsidRPr="00A5406D">
        <w:rPr>
          <w:rFonts w:eastAsia="Arial Unicode MS"/>
        </w:rPr>
        <w:tab/>
        <w:t>Open all doors and windows.</w:t>
      </w:r>
    </w:p>
    <w:p w14:paraId="5285A9E6" w14:textId="7EC9E4AE" w:rsidR="00A67B18" w:rsidRDefault="00A67B18" w:rsidP="00A67B18">
      <w:pPr>
        <w:pStyle w:val="ListNumber"/>
        <w:rPr>
          <w:rFonts w:eastAsia="Arial Unicode MS"/>
        </w:rPr>
      </w:pPr>
      <w:r>
        <w:rPr>
          <w:rFonts w:eastAsia="Arial Unicode MS"/>
        </w:rPr>
        <w:t>d</w:t>
      </w:r>
      <w:r w:rsidRPr="00A5406D">
        <w:rPr>
          <w:rFonts w:eastAsia="Arial Unicode MS"/>
        </w:rPr>
        <w:t>)</w:t>
      </w:r>
      <w:r w:rsidRPr="00A5406D">
        <w:rPr>
          <w:rFonts w:eastAsia="Arial Unicode MS"/>
        </w:rPr>
        <w:tab/>
      </w:r>
      <w:r>
        <w:rPr>
          <w:rFonts w:eastAsia="Arial Unicode MS"/>
        </w:rPr>
        <w:t>M</w:t>
      </w:r>
      <w:r w:rsidRPr="00A5406D">
        <w:rPr>
          <w:rFonts w:eastAsia="Arial Unicode MS"/>
        </w:rPr>
        <w:t xml:space="preserve">ove cylinder to </w:t>
      </w:r>
      <w:r>
        <w:rPr>
          <w:rFonts w:eastAsia="Arial Unicode MS"/>
        </w:rPr>
        <w:t xml:space="preserve">a well-ventilated place, with no people in the vicinity and with no source of ignition.   </w:t>
      </w:r>
      <w:r w:rsidRPr="00A5406D">
        <w:rPr>
          <w:rFonts w:eastAsia="Arial Unicode MS"/>
        </w:rPr>
        <w:t>.</w:t>
      </w:r>
    </w:p>
    <w:p w14:paraId="6CD3CD9E" w14:textId="77777777" w:rsidR="00A67B18" w:rsidRPr="00A5406D" w:rsidRDefault="00A67B18" w:rsidP="00A67B18">
      <w:pPr>
        <w:pStyle w:val="ListNumber"/>
        <w:rPr>
          <w:rFonts w:eastAsia="Arial Unicode MS"/>
        </w:rPr>
      </w:pPr>
      <w:r>
        <w:rPr>
          <w:rFonts w:cs="Arial"/>
          <w:sz w:val="18"/>
          <w:szCs w:val="18"/>
        </w:rPr>
        <w:t xml:space="preserve">e) </w:t>
      </w:r>
      <w:r w:rsidRPr="00F927CF">
        <w:rPr>
          <w:rFonts w:cs="Arial"/>
          <w:sz w:val="18"/>
          <w:szCs w:val="18"/>
        </w:rPr>
        <w:t xml:space="preserve">Call the </w:t>
      </w:r>
      <w:r>
        <w:rPr>
          <w:rFonts w:cs="Arial"/>
          <w:sz w:val="18"/>
          <w:szCs w:val="18"/>
        </w:rPr>
        <w:t xml:space="preserve">brand owner or their authorized agent </w:t>
      </w:r>
      <w:r w:rsidRPr="00F927CF">
        <w:rPr>
          <w:rFonts w:cs="Arial"/>
          <w:sz w:val="18"/>
          <w:szCs w:val="18"/>
        </w:rPr>
        <w:t>immediately to attend to the leakages</w:t>
      </w:r>
      <w:r>
        <w:rPr>
          <w:rFonts w:cs="Arial"/>
          <w:sz w:val="18"/>
          <w:szCs w:val="18"/>
        </w:rPr>
        <w:t>.</w:t>
      </w:r>
    </w:p>
    <w:p w14:paraId="14842A46" w14:textId="77777777" w:rsidR="00A67B18" w:rsidRDefault="00A67B18" w:rsidP="00A67B18">
      <w:pPr>
        <w:pStyle w:val="p2"/>
        <w:rPr>
          <w:rFonts w:eastAsia="Arial Unicode MS"/>
        </w:rPr>
      </w:pPr>
      <w:r w:rsidRPr="001F2223">
        <w:rPr>
          <w:rFonts w:eastAsia="Arial Unicode MS"/>
          <w:b/>
          <w:bCs/>
        </w:rPr>
        <w:t>A.3</w:t>
      </w:r>
      <w:r w:rsidRPr="001F2223">
        <w:rPr>
          <w:rFonts w:eastAsia="Arial Unicode MS"/>
          <w:b/>
          <w:bCs/>
        </w:rPr>
        <w:tab/>
        <w:t>In case of fire</w:t>
      </w:r>
      <w:r>
        <w:rPr>
          <w:rFonts w:eastAsia="Arial Unicode MS"/>
          <w:b/>
          <w:bCs/>
        </w:rPr>
        <w:t xml:space="preserve"> </w:t>
      </w:r>
    </w:p>
    <w:p w14:paraId="73273136" w14:textId="77777777" w:rsidR="00A67B18" w:rsidRDefault="00A67B18" w:rsidP="00A67B18">
      <w:pPr>
        <w:pStyle w:val="ListNumber"/>
        <w:rPr>
          <w:rFonts w:eastAsia="Arial Unicode MS"/>
        </w:rPr>
      </w:pPr>
      <w:r>
        <w:rPr>
          <w:rFonts w:eastAsia="Arial Unicode MS"/>
        </w:rPr>
        <w:t xml:space="preserve">a)  </w:t>
      </w:r>
      <w:r w:rsidRPr="00A5406D">
        <w:rPr>
          <w:rFonts w:eastAsia="Arial Unicode MS"/>
        </w:rPr>
        <w:t xml:space="preserve">If safe to do so, shut off gas supply; </w:t>
      </w:r>
      <w:r w:rsidRPr="003327A5">
        <w:rPr>
          <w:rFonts w:eastAsia="Arial Unicode MS"/>
        </w:rPr>
        <w:t>do not attempt to extinguish gas flame by any means</w:t>
      </w:r>
    </w:p>
    <w:p w14:paraId="2D568D48" w14:textId="7C23932B" w:rsidR="00A67B18" w:rsidRPr="00A5406D" w:rsidRDefault="00A67B18" w:rsidP="00A67B18">
      <w:pPr>
        <w:pStyle w:val="ListNumber"/>
        <w:rPr>
          <w:rFonts w:eastAsia="Arial Unicode MS"/>
        </w:rPr>
      </w:pPr>
      <w:r>
        <w:rPr>
          <w:rFonts w:eastAsia="Arial Unicode MS"/>
        </w:rPr>
        <w:t xml:space="preserve">b)  </w:t>
      </w:r>
      <w:r w:rsidRPr="00305831">
        <w:rPr>
          <w:rFonts w:eastAsia="Arial Unicode MS"/>
        </w:rPr>
        <w:t>Switch off the electricity from the mains</w:t>
      </w:r>
      <w:r>
        <w:rPr>
          <w:rFonts w:eastAsia="Arial Unicode MS"/>
        </w:rPr>
        <w:t>, if safe to do so</w:t>
      </w:r>
    </w:p>
    <w:p w14:paraId="6C76D26E" w14:textId="77777777" w:rsidR="00A67B18" w:rsidRPr="00A5406D" w:rsidRDefault="00A67B18" w:rsidP="00A67B18">
      <w:pPr>
        <w:pStyle w:val="ListNumber"/>
        <w:ind w:left="0" w:firstLine="0"/>
        <w:rPr>
          <w:rFonts w:eastAsia="Arial Unicode MS"/>
        </w:rPr>
      </w:pPr>
      <w:r>
        <w:rPr>
          <w:rFonts w:eastAsia="Arial Unicode MS"/>
        </w:rPr>
        <w:t>c</w:t>
      </w:r>
      <w:r w:rsidRPr="0049674D">
        <w:rPr>
          <w:rFonts w:eastAsia="Arial Unicode MS"/>
        </w:rPr>
        <w:t>)</w:t>
      </w:r>
      <w:r w:rsidRPr="0049674D">
        <w:rPr>
          <w:rFonts w:eastAsia="Arial Unicode MS"/>
        </w:rPr>
        <w:tab/>
        <w:t xml:space="preserve">Raise alarm, call </w:t>
      </w:r>
      <w:r>
        <w:rPr>
          <w:rFonts w:eastAsia="Arial Unicode MS"/>
        </w:rPr>
        <w:t xml:space="preserve">the area </w:t>
      </w:r>
      <w:r w:rsidRPr="0049674D">
        <w:rPr>
          <w:rFonts w:eastAsia="Arial Unicode MS"/>
        </w:rPr>
        <w:t xml:space="preserve">fire brigade; </w:t>
      </w:r>
    </w:p>
    <w:p w14:paraId="2573A68C" w14:textId="77777777" w:rsidR="00A67B18" w:rsidRPr="00A5406D" w:rsidRDefault="00A67B18" w:rsidP="00A67B18">
      <w:pPr>
        <w:pStyle w:val="ListNumber"/>
        <w:rPr>
          <w:rFonts w:eastAsia="Arial Unicode MS"/>
        </w:rPr>
      </w:pPr>
      <w:r>
        <w:rPr>
          <w:rFonts w:eastAsia="Arial Unicode MS"/>
        </w:rPr>
        <w:t>d</w:t>
      </w:r>
      <w:r w:rsidRPr="00A5406D">
        <w:rPr>
          <w:rFonts w:eastAsia="Arial Unicode MS"/>
        </w:rPr>
        <w:t>)</w:t>
      </w:r>
      <w:r w:rsidRPr="00A5406D">
        <w:rPr>
          <w:rFonts w:eastAsia="Arial Unicode MS"/>
        </w:rPr>
        <w:tab/>
        <w:t>Do not go near a cylinder being heated by fire;</w:t>
      </w:r>
    </w:p>
    <w:p w14:paraId="3D4F7EC6" w14:textId="77777777" w:rsidR="00A67B18" w:rsidRDefault="00A67B18" w:rsidP="00A67B18">
      <w:pPr>
        <w:pStyle w:val="ListNumber"/>
        <w:rPr>
          <w:rFonts w:eastAsia="Arial Unicode MS"/>
        </w:rPr>
      </w:pPr>
      <w:r>
        <w:rPr>
          <w:rFonts w:eastAsia="Arial Unicode MS"/>
        </w:rPr>
        <w:t>e</w:t>
      </w:r>
      <w:r w:rsidRPr="00A5406D">
        <w:rPr>
          <w:rFonts w:eastAsia="Arial Unicode MS"/>
        </w:rPr>
        <w:t>)</w:t>
      </w:r>
      <w:r w:rsidRPr="00A5406D">
        <w:rPr>
          <w:rFonts w:eastAsia="Arial Unicode MS"/>
        </w:rPr>
        <w:tab/>
        <w:t>Alert everyone in the neighbourhood</w:t>
      </w:r>
      <w:r>
        <w:rPr>
          <w:rFonts w:eastAsia="Arial Unicode MS"/>
        </w:rPr>
        <w:t xml:space="preserve"> to </w:t>
      </w:r>
      <w:r>
        <w:rPr>
          <w:rFonts w:cs="Arial"/>
          <w:szCs w:val="18"/>
        </w:rPr>
        <w:t>vacate the area immediately</w:t>
      </w:r>
      <w:r w:rsidRPr="00A5406D">
        <w:rPr>
          <w:rFonts w:eastAsia="Arial Unicode MS"/>
        </w:rPr>
        <w:t>;</w:t>
      </w:r>
    </w:p>
    <w:p w14:paraId="60C90194" w14:textId="7BD1DE71" w:rsidR="00A67B18" w:rsidRPr="00A67B18" w:rsidRDefault="00A67B18" w:rsidP="00A67B18">
      <w:pPr>
        <w:pStyle w:val="ListNumber"/>
        <w:rPr>
          <w:rFonts w:eastAsia="Arial Unicode MS"/>
        </w:rPr>
      </w:pPr>
      <w:r w:rsidRPr="00A67B18">
        <w:rPr>
          <w:rFonts w:eastAsia="Arial Unicode MS"/>
        </w:rPr>
        <w:t>f)</w:t>
      </w:r>
      <w:r w:rsidRPr="00A67B18">
        <w:rPr>
          <w:rFonts w:eastAsia="Arial Unicode MS"/>
        </w:rPr>
        <w:tab/>
        <w:t xml:space="preserve"> </w:t>
      </w:r>
      <w:r w:rsidRPr="00A67B18">
        <w:rPr>
          <w:rFonts w:cs="Arial"/>
        </w:rPr>
        <w:t>Remove other cylinder (s) not affected by fire to safe place outside the building, if it is safe to do so</w:t>
      </w:r>
    </w:p>
    <w:p w14:paraId="1A4E77DD" w14:textId="77777777" w:rsidR="00A67B18" w:rsidRPr="009A676F" w:rsidRDefault="00A67B18" w:rsidP="00A67B18">
      <w:pPr>
        <w:pStyle w:val="zzBiblio"/>
      </w:pPr>
      <w:r w:rsidRPr="009A676F">
        <w:lastRenderedPageBreak/>
        <w:t>Bibliography</w:t>
      </w:r>
    </w:p>
    <w:p w14:paraId="4F591EBE" w14:textId="77777777" w:rsidR="00A67B18" w:rsidRPr="00CF00AE" w:rsidRDefault="00A67B18" w:rsidP="00A67B18">
      <w:pPr>
        <w:pStyle w:val="Bibliography1"/>
        <w:tabs>
          <w:tab w:val="clear" w:pos="660"/>
          <w:tab w:val="left" w:pos="851"/>
        </w:tabs>
        <w:ind w:left="0" w:firstLine="0"/>
      </w:pPr>
      <w:r w:rsidRPr="00CF00AE">
        <w:t>KS 9-3</w:t>
      </w:r>
      <w:r>
        <w:t>: 2009</w:t>
      </w:r>
      <w:r w:rsidRPr="00CF00AE">
        <w:t>, Gas cylinders — Refillable welded low carbon cylinders for liquefied petroleum gas (LPG) exceeding 5-litre water capacity, Part 3: Code of practice for filling, distribution and retailing of liquefied petroleum gas in cylinders</w:t>
      </w:r>
    </w:p>
    <w:p w14:paraId="28FD477A" w14:textId="77777777" w:rsidR="00A67B18" w:rsidRPr="009A676F" w:rsidRDefault="00A67B18" w:rsidP="00A67B18">
      <w:pPr>
        <w:pStyle w:val="Bibliography1"/>
        <w:rPr>
          <w:rFonts w:eastAsia="Arial"/>
          <w:i/>
        </w:rPr>
      </w:pPr>
    </w:p>
    <w:p w14:paraId="17ABCEBE" w14:textId="77777777" w:rsidR="00A67B18" w:rsidRDefault="00A67B18" w:rsidP="00A67B18"/>
    <w:p w14:paraId="35270413" w14:textId="77777777" w:rsidR="00094F28" w:rsidRDefault="00094F28"/>
    <w:sectPr w:rsidR="00094F28" w:rsidSect="00A67B18">
      <w:headerReference w:type="even" r:id="rId23"/>
      <w:headerReference w:type="default" r:id="rId24"/>
      <w:headerReference w:type="first" r:id="rId25"/>
      <w:footerReference w:type="first" r:id="rId26"/>
      <w:type w:val="oddPage"/>
      <w:pgSz w:w="11906" w:h="16838" w:code="9"/>
      <w:pgMar w:top="794" w:right="737" w:bottom="567" w:left="851" w:header="720" w:footer="284" w:gutter="56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2393D" w14:textId="77777777" w:rsidR="00A67B18" w:rsidRDefault="00A67B18" w:rsidP="00A67B18">
      <w:pPr>
        <w:spacing w:after="0" w:line="240" w:lineRule="auto"/>
      </w:pPr>
      <w:r>
        <w:separator/>
      </w:r>
    </w:p>
  </w:endnote>
  <w:endnote w:type="continuationSeparator" w:id="0">
    <w:p w14:paraId="7E31E249" w14:textId="77777777" w:rsidR="00A67B18" w:rsidRDefault="00A67B18" w:rsidP="00A67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521CB" w14:textId="77777777" w:rsidR="009B188F" w:rsidRDefault="009B188F" w:rsidP="00B569CE">
    <w:pPr>
      <w:pStyle w:val="Footer"/>
      <w:jc w:val="right"/>
    </w:pPr>
    <w:r>
      <w:t xml:space="preserve">© EAC </w:t>
    </w:r>
    <w:r w:rsidRPr="0056751D">
      <w:rPr>
        <w:color w:val="FF0000"/>
      </w:rPr>
      <w:t>yyyy</w:t>
    </w:r>
    <w:r>
      <w:t> –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462A1" w14:textId="77777777" w:rsidR="0080579D" w:rsidRDefault="008057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075C0" w14:textId="0DE73937" w:rsidR="009B188F" w:rsidRPr="00845F97" w:rsidRDefault="009B188F" w:rsidP="003A270C">
    <w:pPr>
      <w:pStyle w:val="Footer"/>
      <w:spacing w:after="360" w:line="220" w:lineRule="exact"/>
    </w:pPr>
    <w:r w:rsidRPr="00845F97">
      <w:t>© EAC 20</w:t>
    </w:r>
    <w:r>
      <w:t>2</w:t>
    </w:r>
    <w:r w:rsidR="0080579D">
      <w:t>5</w:t>
    </w:r>
    <w:r w:rsidRPr="00845F97">
      <w:t xml:space="preserve">                                                                                                                        </w:t>
    </w:r>
    <w:r>
      <w:t xml:space="preserve">First </w:t>
    </w:r>
    <w:r w:rsidRPr="00845F97">
      <w:t>Edition 20</w:t>
    </w:r>
    <w:r>
      <w:t>2</w:t>
    </w:r>
    <w:r w:rsidR="0080579D">
      <w:t>5</w:t>
    </w:r>
  </w:p>
  <w:p w14:paraId="388229CE" w14:textId="77777777" w:rsidR="009B188F" w:rsidRPr="003A270C" w:rsidRDefault="009B188F" w:rsidP="003A27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A2B5C" w14:paraId="15821486" w14:textId="77777777">
      <w:trPr>
        <w:cantSplit/>
        <w:jc w:val="center"/>
      </w:trPr>
      <w:tc>
        <w:tcPr>
          <w:tcW w:w="4876" w:type="dxa"/>
        </w:tcPr>
        <w:p w14:paraId="506E39FD" w14:textId="77777777" w:rsidR="009B188F" w:rsidRPr="00722321" w:rsidRDefault="009B188F">
          <w:pPr>
            <w:pStyle w:val="Footer"/>
            <w:spacing w:before="540"/>
            <w:rPr>
              <w:b/>
              <w:lang w:eastAsia="en-US"/>
            </w:rPr>
          </w:pPr>
          <w:r w:rsidRPr="00722321">
            <w:rPr>
              <w:rStyle w:val="PageNumber"/>
              <w:b/>
              <w:lang w:eastAsia="en-US"/>
            </w:rPr>
            <w:fldChar w:fldCharType="begin"/>
          </w:r>
          <w:r w:rsidRPr="00722321">
            <w:rPr>
              <w:rStyle w:val="PageNumber"/>
              <w:b/>
              <w:lang w:eastAsia="en-US"/>
            </w:rPr>
            <w:instrText xml:space="preserve"> PAGE </w:instrText>
          </w:r>
          <w:r w:rsidRPr="00722321">
            <w:rPr>
              <w:rStyle w:val="PageNumber"/>
              <w:b/>
              <w:lang w:eastAsia="en-US"/>
            </w:rPr>
            <w:fldChar w:fldCharType="separate"/>
          </w:r>
          <w:r>
            <w:rPr>
              <w:rStyle w:val="PageNumber"/>
              <w:b/>
              <w:noProof/>
              <w:lang w:eastAsia="en-US"/>
            </w:rPr>
            <w:t>2</w:t>
          </w:r>
          <w:r w:rsidRPr="00722321">
            <w:rPr>
              <w:rStyle w:val="PageNumber"/>
              <w:b/>
              <w:lang w:eastAsia="en-US"/>
            </w:rPr>
            <w:fldChar w:fldCharType="end"/>
          </w:r>
        </w:p>
      </w:tc>
      <w:tc>
        <w:tcPr>
          <w:tcW w:w="4876" w:type="dxa"/>
        </w:tcPr>
        <w:p w14:paraId="2FB38856" w14:textId="77777777" w:rsidR="009B188F" w:rsidRDefault="009B188F" w:rsidP="0051656B">
          <w:pPr>
            <w:pStyle w:val="Footer"/>
            <w:spacing w:before="540"/>
            <w:jc w:val="right"/>
            <w:rPr>
              <w:lang w:eastAsia="en-US"/>
            </w:rPr>
          </w:pPr>
          <w:r>
            <w:rPr>
              <w:lang w:eastAsia="en-US"/>
            </w:rPr>
            <w:t xml:space="preserve">© </w:t>
          </w:r>
          <w:r w:rsidRPr="00845F97">
            <w:rPr>
              <w:lang w:eastAsia="en-US"/>
            </w:rPr>
            <w:t>EAC 20</w:t>
          </w:r>
          <w:r>
            <w:rPr>
              <w:lang w:eastAsia="en-US"/>
            </w:rPr>
            <w:t>23</w:t>
          </w:r>
          <w:r w:rsidRPr="00845F97">
            <w:rPr>
              <w:lang w:eastAsia="en-US"/>
            </w:rPr>
            <w:t xml:space="preserve"> – All rights reserved</w:t>
          </w:r>
        </w:p>
      </w:tc>
    </w:tr>
  </w:tbl>
  <w:p w14:paraId="3A5A24E2" w14:textId="77777777" w:rsidR="009B188F" w:rsidRDefault="009B188F">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A2B5C" w14:paraId="6311F31F" w14:textId="77777777">
      <w:trPr>
        <w:cantSplit/>
        <w:jc w:val="center"/>
      </w:trPr>
      <w:tc>
        <w:tcPr>
          <w:tcW w:w="4876" w:type="dxa"/>
        </w:tcPr>
        <w:p w14:paraId="221E2033" w14:textId="15D7E1B6" w:rsidR="009B188F" w:rsidRDefault="009B188F" w:rsidP="0051656B">
          <w:pPr>
            <w:pStyle w:val="Footer"/>
            <w:spacing w:before="540"/>
            <w:rPr>
              <w:b/>
              <w:lang w:eastAsia="en-US"/>
            </w:rPr>
          </w:pPr>
          <w:r>
            <w:rPr>
              <w:lang w:eastAsia="en-US"/>
            </w:rPr>
            <w:t xml:space="preserve">© </w:t>
          </w:r>
          <w:r w:rsidRPr="00845F97">
            <w:rPr>
              <w:lang w:eastAsia="en-US"/>
            </w:rPr>
            <w:t>EAC 20</w:t>
          </w:r>
          <w:r>
            <w:rPr>
              <w:lang w:eastAsia="en-US"/>
            </w:rPr>
            <w:t>2</w:t>
          </w:r>
          <w:r w:rsidR="0080579D">
            <w:rPr>
              <w:lang w:eastAsia="en-US"/>
            </w:rPr>
            <w:t>5</w:t>
          </w:r>
          <w:r w:rsidRPr="00845F97">
            <w:rPr>
              <w:lang w:eastAsia="en-US"/>
            </w:rPr>
            <w:t xml:space="preserve"> – All rights</w:t>
          </w:r>
          <w:r>
            <w:rPr>
              <w:lang w:eastAsia="en-US"/>
            </w:rPr>
            <w:t xml:space="preserve"> reserved</w:t>
          </w:r>
        </w:p>
      </w:tc>
      <w:tc>
        <w:tcPr>
          <w:tcW w:w="4876" w:type="dxa"/>
        </w:tcPr>
        <w:p w14:paraId="78C61B4B" w14:textId="77777777" w:rsidR="009B188F" w:rsidRPr="00722321" w:rsidRDefault="009B188F">
          <w:pPr>
            <w:pStyle w:val="Footer"/>
            <w:spacing w:before="540"/>
            <w:jc w:val="right"/>
            <w:rPr>
              <w:b/>
              <w:lang w:eastAsia="en-US"/>
            </w:rPr>
          </w:pPr>
          <w:r w:rsidRPr="00722321">
            <w:rPr>
              <w:rStyle w:val="PageNumber"/>
              <w:b/>
              <w:lang w:eastAsia="en-US"/>
            </w:rPr>
            <w:fldChar w:fldCharType="begin"/>
          </w:r>
          <w:r w:rsidRPr="00722321">
            <w:rPr>
              <w:rStyle w:val="PageNumber"/>
              <w:b/>
              <w:lang w:eastAsia="en-US"/>
            </w:rPr>
            <w:instrText xml:space="preserve"> PAGE </w:instrText>
          </w:r>
          <w:r w:rsidRPr="00722321">
            <w:rPr>
              <w:rStyle w:val="PageNumber"/>
              <w:b/>
              <w:lang w:eastAsia="en-US"/>
            </w:rPr>
            <w:fldChar w:fldCharType="separate"/>
          </w:r>
          <w:r>
            <w:rPr>
              <w:rStyle w:val="PageNumber"/>
              <w:b/>
              <w:noProof/>
              <w:lang w:eastAsia="en-US"/>
            </w:rPr>
            <w:t>3</w:t>
          </w:r>
          <w:r w:rsidRPr="00722321">
            <w:rPr>
              <w:rStyle w:val="PageNumber"/>
              <w:b/>
              <w:lang w:eastAsia="en-US"/>
            </w:rPr>
            <w:fldChar w:fldCharType="end"/>
          </w:r>
        </w:p>
      </w:tc>
    </w:tr>
  </w:tbl>
  <w:p w14:paraId="42A8D53D" w14:textId="77777777" w:rsidR="009B188F" w:rsidRDefault="009B188F">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5173"/>
      <w:gridCol w:w="5173"/>
    </w:tblGrid>
    <w:tr w:rsidR="00BA2B5C" w14:paraId="11251FFD" w14:textId="77777777">
      <w:trPr>
        <w:cantSplit/>
      </w:trPr>
      <w:tc>
        <w:tcPr>
          <w:tcW w:w="5173" w:type="dxa"/>
        </w:tcPr>
        <w:p w14:paraId="6EFC7075" w14:textId="77777777" w:rsidR="009B188F" w:rsidRDefault="009B188F" w:rsidP="0051656B">
          <w:pPr>
            <w:pStyle w:val="Footer"/>
            <w:spacing w:before="540"/>
            <w:rPr>
              <w:lang w:eastAsia="en-US"/>
            </w:rPr>
          </w:pPr>
          <w:r>
            <w:rPr>
              <w:lang w:eastAsia="en-US"/>
            </w:rPr>
            <w:t xml:space="preserve">© </w:t>
          </w:r>
          <w:r w:rsidRPr="00845F97">
            <w:rPr>
              <w:lang w:eastAsia="en-US"/>
            </w:rPr>
            <w:t>EAC 20</w:t>
          </w:r>
          <w:r>
            <w:rPr>
              <w:lang w:eastAsia="en-US"/>
            </w:rPr>
            <w:t>23</w:t>
          </w:r>
          <w:r w:rsidRPr="00845F97">
            <w:rPr>
              <w:lang w:eastAsia="en-US"/>
            </w:rPr>
            <w:t>– All rights</w:t>
          </w:r>
          <w:r>
            <w:rPr>
              <w:lang w:eastAsia="en-US"/>
            </w:rPr>
            <w:t xml:space="preserve"> reserved</w:t>
          </w:r>
        </w:p>
      </w:tc>
      <w:tc>
        <w:tcPr>
          <w:tcW w:w="5173" w:type="dxa"/>
        </w:tcPr>
        <w:p w14:paraId="65733E2D" w14:textId="77777777" w:rsidR="009B188F" w:rsidRPr="00BA1238" w:rsidRDefault="009B188F">
          <w:pPr>
            <w:pStyle w:val="Footer"/>
            <w:spacing w:before="540"/>
            <w:jc w:val="right"/>
            <w:rPr>
              <w:b/>
              <w:sz w:val="16"/>
              <w:lang w:eastAsia="en-US"/>
            </w:rPr>
          </w:pPr>
          <w:r w:rsidRPr="00BA1238">
            <w:rPr>
              <w:rStyle w:val="PageNumber"/>
              <w:b/>
              <w:lang w:eastAsia="en-US"/>
            </w:rPr>
            <w:fldChar w:fldCharType="begin"/>
          </w:r>
          <w:r w:rsidRPr="00BA1238">
            <w:rPr>
              <w:rStyle w:val="PageNumber"/>
              <w:b/>
              <w:lang w:eastAsia="en-US"/>
            </w:rPr>
            <w:instrText xml:space="preserve"> PAGE </w:instrText>
          </w:r>
          <w:r w:rsidRPr="00BA1238">
            <w:rPr>
              <w:rStyle w:val="PageNumber"/>
              <w:b/>
              <w:lang w:eastAsia="en-US"/>
            </w:rPr>
            <w:fldChar w:fldCharType="separate"/>
          </w:r>
          <w:r>
            <w:rPr>
              <w:rStyle w:val="PageNumber"/>
              <w:b/>
              <w:noProof/>
              <w:lang w:eastAsia="en-US"/>
            </w:rPr>
            <w:t>1</w:t>
          </w:r>
          <w:r w:rsidRPr="00BA1238">
            <w:rPr>
              <w:rStyle w:val="PageNumber"/>
              <w:b/>
              <w:lang w:eastAsia="en-US"/>
            </w:rPr>
            <w:fldChar w:fldCharType="end"/>
          </w:r>
        </w:p>
      </w:tc>
    </w:tr>
  </w:tbl>
  <w:p w14:paraId="5848E601" w14:textId="77777777" w:rsidR="009B188F" w:rsidRDefault="009B188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3ABB5" w14:textId="5E0D6C1F" w:rsidR="009B188F" w:rsidRDefault="009B188F" w:rsidP="00457EE7">
    <w:pPr>
      <w:pBdr>
        <w:top w:val="thinThickThinSmallGap" w:sz="18" w:space="1" w:color="99FF33"/>
      </w:pBdr>
    </w:pPr>
    <w:r>
      <w:t xml:space="preserve">© </w:t>
    </w:r>
    <w:r w:rsidRPr="00845F97">
      <w:t>EAC 20</w:t>
    </w:r>
    <w:r>
      <w:t>2</w:t>
    </w:r>
    <w:r w:rsidR="0080579D">
      <w:t>5</w:t>
    </w:r>
    <w:r w:rsidRPr="00845F97">
      <w:t xml:space="preserve"> – All rights</w:t>
    </w:r>
    <w:r>
      <w:t xml:space="preserve"> reserved</w:t>
    </w:r>
  </w:p>
  <w:tbl>
    <w:tblPr>
      <w:tblW w:w="0" w:type="auto"/>
      <w:jc w:val="center"/>
      <w:tblLayout w:type="fixed"/>
      <w:tblCellMar>
        <w:left w:w="0" w:type="dxa"/>
        <w:right w:w="0" w:type="dxa"/>
      </w:tblCellMar>
      <w:tblLook w:val="0000" w:firstRow="0" w:lastRow="0" w:firstColumn="0" w:lastColumn="0" w:noHBand="0" w:noVBand="0"/>
    </w:tblPr>
    <w:tblGrid>
      <w:gridCol w:w="4876"/>
      <w:gridCol w:w="5048"/>
    </w:tblGrid>
    <w:tr w:rsidR="00BA2B5C" w14:paraId="4545877A" w14:textId="77777777">
      <w:trPr>
        <w:cantSplit/>
        <w:jc w:val="center"/>
      </w:trPr>
      <w:tc>
        <w:tcPr>
          <w:tcW w:w="4876" w:type="dxa"/>
        </w:tcPr>
        <w:p w14:paraId="021F074A" w14:textId="77777777" w:rsidR="009B188F" w:rsidRDefault="009B188F">
          <w:pPr>
            <w:pStyle w:val="Footer"/>
            <w:spacing w:before="540"/>
            <w:rPr>
              <w:b/>
              <w:lang w:eastAsia="en-US"/>
            </w:rPr>
          </w:pPr>
        </w:p>
      </w:tc>
      <w:tc>
        <w:tcPr>
          <w:tcW w:w="5048" w:type="dxa"/>
        </w:tcPr>
        <w:p w14:paraId="7B674EC3" w14:textId="77777777" w:rsidR="009B188F" w:rsidRDefault="009B188F">
          <w:pPr>
            <w:pStyle w:val="Footer"/>
            <w:spacing w:before="540"/>
            <w:jc w:val="right"/>
            <w:rPr>
              <w:b/>
              <w:lang w:eastAsia="en-US"/>
            </w:rPr>
          </w:pPr>
        </w:p>
      </w:tc>
    </w:tr>
  </w:tbl>
  <w:p w14:paraId="176B2ED0" w14:textId="77777777" w:rsidR="009B188F" w:rsidRDefault="009B188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A4A48" w14:textId="77777777" w:rsidR="00A67B18" w:rsidRDefault="00A67B18" w:rsidP="00A67B18">
      <w:pPr>
        <w:spacing w:after="0" w:line="240" w:lineRule="auto"/>
      </w:pPr>
      <w:r>
        <w:separator/>
      </w:r>
    </w:p>
  </w:footnote>
  <w:footnote w:type="continuationSeparator" w:id="0">
    <w:p w14:paraId="5E067D3F" w14:textId="77777777" w:rsidR="00A67B18" w:rsidRDefault="00A67B18" w:rsidP="00A67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0270B" w14:textId="67543403" w:rsidR="009B188F" w:rsidRPr="00224EA3" w:rsidRDefault="0080579D">
    <w:pPr>
      <w:pStyle w:val="Header"/>
      <w:rPr>
        <w:sz w:val="24"/>
        <w:szCs w:val="24"/>
      </w:rPr>
    </w:pPr>
    <w:r>
      <w:rPr>
        <w:noProof/>
      </w:rPr>
      <w:pict w14:anchorId="48D325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807954" o:spid="_x0000_s1026" type="#_x0000_t136" style="position:absolute;left:0;text-align:left;margin-left:0;margin-top:0;width:625.5pt;height:62.55pt;rotation:315;z-index:-25165516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9B188F">
      <w:t xml:space="preserve">EAS </w:t>
    </w:r>
    <w:r w:rsidR="009B188F" w:rsidRPr="001752F2">
      <w:rPr>
        <w:color w:val="FF0000"/>
        <w:szCs w:val="22"/>
      </w:rPr>
      <w:t>n</w:t>
    </w:r>
    <w:r w:rsidR="009B188F">
      <w:rPr>
        <w:color w:val="FF0000"/>
        <w:szCs w:val="22"/>
      </w:rPr>
      <w:t>n</w:t>
    </w:r>
    <w:r w:rsidR="009B188F" w:rsidRPr="001752F2">
      <w:rPr>
        <w:color w:val="FF0000"/>
        <w:szCs w:val="22"/>
      </w:rPr>
      <w:t>nn-n</w:t>
    </w:r>
    <w:r w:rsidR="009B188F">
      <w:rPr>
        <w:color w:val="FF0000"/>
        <w:szCs w:val="22"/>
      </w:rPr>
      <w:t>:</w:t>
    </w:r>
    <w:r w:rsidR="009B188F" w:rsidRPr="001752F2">
      <w:rPr>
        <w:color w:val="FF0000"/>
        <w:szCs w:val="22"/>
      </w:rPr>
      <w:t xml:space="preserve">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AD7AC" w14:textId="2024D009" w:rsidR="00A67B18" w:rsidRDefault="0080579D">
    <w:pPr>
      <w:pStyle w:val="Header"/>
    </w:pPr>
    <w:r>
      <w:rPr>
        <w:noProof/>
      </w:rPr>
      <w:pict w14:anchorId="7AC2D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807955" o:spid="_x0000_s1027" type="#_x0000_t136" style="position:absolute;left:0;text-align:left;margin-left:0;margin-top:0;width:625.5pt;height:62.55pt;rotation:315;z-index:-251653120;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17" w:type="dxa"/>
      <w:tblInd w:w="48" w:type="dxa"/>
      <w:tblLook w:val="0000" w:firstRow="0" w:lastRow="0" w:firstColumn="0" w:lastColumn="0" w:noHBand="0" w:noVBand="0"/>
    </w:tblPr>
    <w:tblGrid>
      <w:gridCol w:w="2790"/>
      <w:gridCol w:w="7827"/>
    </w:tblGrid>
    <w:tr w:rsidR="00BA2B5C" w:rsidRPr="00845F97" w14:paraId="316A9B79" w14:textId="77777777" w:rsidTr="005126A7">
      <w:trPr>
        <w:trHeight w:val="1034"/>
      </w:trPr>
      <w:tc>
        <w:tcPr>
          <w:tcW w:w="2790" w:type="dxa"/>
        </w:tcPr>
        <w:p w14:paraId="1D708776" w14:textId="77777777" w:rsidR="009B188F" w:rsidRDefault="00A67B18" w:rsidP="00C604D6">
          <w:pPr>
            <w:spacing w:before="120" w:after="160" w:line="259" w:lineRule="auto"/>
            <w:ind w:left="-58"/>
            <w:jc w:val="left"/>
            <w:rPr>
              <w:rFonts w:ascii="Bookman Old Style" w:hAnsi="Bookman Old Style"/>
              <w:noProof/>
              <w:lang w:val="en-US"/>
            </w:rPr>
          </w:pPr>
          <w:r w:rsidRPr="00C604D6">
            <w:rPr>
              <w:rFonts w:ascii="Bookman Old Style" w:hAnsi="Bookman Old Style"/>
              <w:noProof/>
              <w:lang w:val="en-US" w:eastAsia="zh-TW"/>
            </w:rPr>
            <w:drawing>
              <wp:inline distT="0" distB="0" distL="0" distR="0" wp14:anchorId="73E709DC" wp14:editId="01722E4B">
                <wp:extent cx="946150" cy="863600"/>
                <wp:effectExtent l="0" t="0" r="6350" b="0"/>
                <wp:docPr id="172659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863600"/>
                        </a:xfrm>
                        <a:prstGeom prst="rect">
                          <a:avLst/>
                        </a:prstGeom>
                        <a:noFill/>
                        <a:ln>
                          <a:noFill/>
                        </a:ln>
                      </pic:spPr>
                    </pic:pic>
                  </a:graphicData>
                </a:graphic>
              </wp:inline>
            </w:drawing>
          </w:r>
        </w:p>
      </w:tc>
      <w:tc>
        <w:tcPr>
          <w:tcW w:w="7827" w:type="dxa"/>
        </w:tcPr>
        <w:p w14:paraId="01096FBF" w14:textId="680BF54B" w:rsidR="009B188F" w:rsidRPr="00845F97" w:rsidRDefault="009B188F" w:rsidP="00A67B18">
          <w:pPr>
            <w:pStyle w:val="Header"/>
            <w:tabs>
              <w:tab w:val="left" w:pos="2000"/>
              <w:tab w:val="left" w:pos="2050"/>
              <w:tab w:val="right" w:pos="9760"/>
            </w:tabs>
            <w:spacing w:before="240" w:after="240" w:line="240" w:lineRule="auto"/>
            <w:jc w:val="center"/>
            <w:rPr>
              <w:sz w:val="28"/>
              <w:szCs w:val="28"/>
            </w:rPr>
          </w:pPr>
          <w:r>
            <w:rPr>
              <w:sz w:val="28"/>
              <w:szCs w:val="28"/>
            </w:rPr>
            <w:t xml:space="preserve">DEAS </w:t>
          </w:r>
          <w:r w:rsidR="00B719C9">
            <w:rPr>
              <w:sz w:val="28"/>
              <w:szCs w:val="28"/>
            </w:rPr>
            <w:t>1224-1</w:t>
          </w:r>
          <w:r w:rsidRPr="00845F97">
            <w:rPr>
              <w:sz w:val="28"/>
              <w:szCs w:val="28"/>
            </w:rPr>
            <w:t xml:space="preserve">: </w:t>
          </w:r>
          <w:r>
            <w:rPr>
              <w:sz w:val="28"/>
              <w:szCs w:val="28"/>
            </w:rPr>
            <w:t>202</w:t>
          </w:r>
          <w:r w:rsidR="0080579D">
            <w:rPr>
              <w:sz w:val="28"/>
              <w:szCs w:val="28"/>
            </w:rPr>
            <w:t>5</w:t>
          </w:r>
        </w:p>
        <w:p w14:paraId="62109680" w14:textId="77777777" w:rsidR="009B188F" w:rsidRPr="00845F97" w:rsidRDefault="009B188F" w:rsidP="00A67B18">
          <w:pPr>
            <w:pStyle w:val="Header"/>
            <w:tabs>
              <w:tab w:val="left" w:pos="2000"/>
              <w:tab w:val="left" w:pos="2050"/>
              <w:tab w:val="right" w:pos="9760"/>
            </w:tabs>
            <w:spacing w:before="240" w:after="240" w:line="240" w:lineRule="auto"/>
            <w:jc w:val="center"/>
          </w:pPr>
          <w:r w:rsidRPr="00845F97">
            <w:rPr>
              <w:b w:val="0"/>
              <w:bCs/>
              <w:sz w:val="24"/>
              <w:szCs w:val="24"/>
            </w:rPr>
            <w:t xml:space="preserve">ICS </w:t>
          </w:r>
          <w:r w:rsidRPr="00B117AE">
            <w:rPr>
              <w:b w:val="0"/>
              <w:bCs/>
              <w:sz w:val="24"/>
              <w:szCs w:val="24"/>
            </w:rPr>
            <w:t>23.020.30</w:t>
          </w:r>
        </w:p>
      </w:tc>
    </w:tr>
  </w:tbl>
  <w:p w14:paraId="61DB3045" w14:textId="764421B1" w:rsidR="009B188F" w:rsidRPr="00094F64" w:rsidRDefault="0080579D" w:rsidP="0047342D">
    <w:pPr>
      <w:pStyle w:val="Header"/>
      <w:tabs>
        <w:tab w:val="left" w:pos="2000"/>
        <w:tab w:val="left" w:pos="2050"/>
        <w:tab w:val="right" w:pos="9760"/>
      </w:tabs>
      <w:spacing w:before="240" w:after="240" w:line="240" w:lineRule="auto"/>
      <w:jc w:val="left"/>
      <w:rPr>
        <w:color w:val="FF0000"/>
      </w:rPr>
    </w:pPr>
    <w:r>
      <w:rPr>
        <w:noProof/>
      </w:rPr>
      <w:pict w14:anchorId="3FDC01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807953" o:spid="_x0000_s1025" type="#_x0000_t136" style="position:absolute;margin-left:0;margin-top:0;width:625.5pt;height:62.55pt;rotation:315;z-index:-25165721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D7EFD" w14:textId="02AB9752" w:rsidR="009B188F" w:rsidRPr="001024D5" w:rsidRDefault="0080579D" w:rsidP="001024D5">
    <w:pPr>
      <w:pStyle w:val="Header"/>
    </w:pPr>
    <w:r>
      <w:rPr>
        <w:noProof/>
      </w:rPr>
      <w:pict w14:anchorId="2E836A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807957" o:spid="_x0000_s1029" type="#_x0000_t136" style="position:absolute;left:0;text-align:left;margin-left:0;margin-top:0;width:625.5pt;height:62.55pt;rotation:315;z-index:-251649024;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9B188F" w:rsidRPr="00B117AE">
      <w:t>DEAS CD/K 01</w:t>
    </w:r>
    <w:r w:rsidR="009B188F">
      <w:t>:</w:t>
    </w:r>
    <w:r w:rsidR="009B188F" w:rsidRPr="00B117AE">
      <w:t>202</w:t>
    </w:r>
    <w:r w:rsidR="009B188F">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5255C" w14:textId="3320D3B0" w:rsidR="009B188F" w:rsidRPr="00845F97" w:rsidRDefault="0080579D">
    <w:pPr>
      <w:pStyle w:val="Header"/>
      <w:jc w:val="right"/>
    </w:pPr>
    <w:r>
      <w:rPr>
        <w:noProof/>
      </w:rPr>
      <w:pict w14:anchorId="27D55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807958" o:spid="_x0000_s1030" type="#_x0000_t136" style="position:absolute;left:0;text-align:left;margin-left:0;margin-top:0;width:625.5pt;height:62.55pt;rotation:315;z-index:-25164697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9B188F" w:rsidRPr="00B117AE">
      <w:t xml:space="preserve">DEAS </w:t>
    </w:r>
    <w:r w:rsidR="002450D5">
      <w:t>1224</w:t>
    </w:r>
    <w:r w:rsidR="0020758B">
      <w:t>-</w:t>
    </w:r>
    <w:r w:rsidR="009B188F" w:rsidRPr="00B117AE">
      <w:t>1:202</w:t>
    </w:r>
    <w:r>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ED734" w14:textId="3D803274" w:rsidR="009B188F" w:rsidRDefault="0080579D">
    <w:pPr>
      <w:pStyle w:val="Header"/>
    </w:pPr>
    <w:r>
      <w:rPr>
        <w:noProof/>
      </w:rPr>
      <w:pict w14:anchorId="604476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807956" o:spid="_x0000_s1028" type="#_x0000_t136" style="position:absolute;left:0;text-align:left;margin-left:0;margin-top:0;width:625.5pt;height:62.55pt;rotation:315;z-index:-251651072;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9B188F">
      <w:rPr>
        <w:color w:val="FF0000"/>
      </w:rPr>
      <w:t>ISO/WD nnn-n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71D73" w14:textId="2FB129EE" w:rsidR="00A67B18" w:rsidRDefault="0080579D">
    <w:pPr>
      <w:pStyle w:val="Header"/>
    </w:pPr>
    <w:r>
      <w:rPr>
        <w:noProof/>
      </w:rPr>
      <w:pict w14:anchorId="563AF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807960" o:spid="_x0000_s1032" type="#_x0000_t136" style="position:absolute;left:0;text-align:left;margin-left:0;margin-top:0;width:625.5pt;height:62.55pt;rotation:315;z-index:-251642880;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66391" w14:textId="3CE90BEC" w:rsidR="00A67B18" w:rsidRDefault="0080579D">
    <w:pPr>
      <w:pStyle w:val="Header"/>
    </w:pPr>
    <w:r>
      <w:rPr>
        <w:noProof/>
      </w:rPr>
      <w:pict w14:anchorId="7DD058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807961" o:spid="_x0000_s1033" type="#_x0000_t136" style="position:absolute;left:0;text-align:left;margin-left:0;margin-top:0;width:625.5pt;height:62.55pt;rotation:315;z-index:-251640832;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BA2B5C" w14:paraId="7D1A6D31" w14:textId="77777777">
      <w:trPr>
        <w:cantSplit/>
        <w:jc w:val="center"/>
      </w:trPr>
      <w:tc>
        <w:tcPr>
          <w:tcW w:w="5387" w:type="dxa"/>
        </w:tcPr>
        <w:p w14:paraId="1C33D768" w14:textId="77BFA3C4" w:rsidR="009B188F" w:rsidRPr="00845F97" w:rsidRDefault="009B188F" w:rsidP="00975EC5">
          <w:pPr>
            <w:pStyle w:val="Header"/>
            <w:spacing w:before="120" w:after="120" w:line="-230" w:lineRule="auto"/>
          </w:pPr>
          <w:r w:rsidRPr="00B117AE">
            <w:t xml:space="preserve">DEAS </w:t>
          </w:r>
          <w:r w:rsidR="0080579D">
            <w:t>1224-1</w:t>
          </w:r>
          <w:r w:rsidRPr="00B117AE">
            <w:t>: 202</w:t>
          </w:r>
          <w:r w:rsidR="0080579D">
            <w:t>5</w:t>
          </w:r>
        </w:p>
      </w:tc>
      <w:tc>
        <w:tcPr>
          <w:tcW w:w="4366" w:type="dxa"/>
        </w:tcPr>
        <w:p w14:paraId="0BDB74BF" w14:textId="77777777" w:rsidR="009B188F" w:rsidRDefault="009B188F">
          <w:pPr>
            <w:pStyle w:val="Header"/>
            <w:spacing w:before="120" w:after="120" w:line="-230" w:lineRule="auto"/>
            <w:jc w:val="right"/>
          </w:pPr>
          <w:r>
            <w:rPr>
              <w:color w:val="FF0000"/>
            </w:rPr>
            <w:t xml:space="preserve"> </w:t>
          </w:r>
        </w:p>
      </w:tc>
    </w:tr>
  </w:tbl>
  <w:p w14:paraId="79DBFEA3" w14:textId="24D98D4F" w:rsidR="009B188F" w:rsidRDefault="0080579D">
    <w:pPr>
      <w:pStyle w:val="Header"/>
    </w:pPr>
    <w:r>
      <w:rPr>
        <w:noProof/>
      </w:rPr>
      <w:pict w14:anchorId="0B67B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807959" o:spid="_x0000_s1031" type="#_x0000_t136" style="position:absolute;left:0;text-align:left;margin-left:0;margin-top:0;width:625.5pt;height:62.55pt;rotation:315;z-index:-25164492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B18"/>
    <w:rsid w:val="00094F28"/>
    <w:rsid w:val="001A7510"/>
    <w:rsid w:val="001C5B61"/>
    <w:rsid w:val="001D047A"/>
    <w:rsid w:val="001E2FE3"/>
    <w:rsid w:val="0020758B"/>
    <w:rsid w:val="002450D5"/>
    <w:rsid w:val="00395C87"/>
    <w:rsid w:val="00681260"/>
    <w:rsid w:val="00690CCF"/>
    <w:rsid w:val="00704C2B"/>
    <w:rsid w:val="00741492"/>
    <w:rsid w:val="00795798"/>
    <w:rsid w:val="0080579D"/>
    <w:rsid w:val="009B188F"/>
    <w:rsid w:val="00A67B18"/>
    <w:rsid w:val="00B719C9"/>
    <w:rsid w:val="00C70482"/>
    <w:rsid w:val="00D129F7"/>
    <w:rsid w:val="00E22692"/>
    <w:rsid w:val="00E37F73"/>
    <w:rsid w:val="00F26FC5"/>
    <w:rsid w:val="00FD3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1506B"/>
  <w15:chartTrackingRefBased/>
  <w15:docId w15:val="{A6287B33-2C36-4E66-9324-32BFA367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B18"/>
    <w:pPr>
      <w:spacing w:after="240" w:line="230" w:lineRule="atLeast"/>
      <w:jc w:val="both"/>
    </w:pPr>
    <w:rPr>
      <w:rFonts w:ascii="Arial" w:eastAsia="Times New Roman" w:hAnsi="Arial" w:cs="Times New Roman"/>
      <w:kern w:val="0"/>
      <w:sz w:val="20"/>
      <w:szCs w:val="20"/>
      <w:lang w:val="en-GB"/>
      <w14:ligatures w14:val="none"/>
    </w:rPr>
  </w:style>
  <w:style w:type="paragraph" w:styleId="Heading1">
    <w:name w:val="heading 1"/>
    <w:basedOn w:val="Normal"/>
    <w:next w:val="Normal"/>
    <w:link w:val="Heading1Char"/>
    <w:qFormat/>
    <w:rsid w:val="00A67B18"/>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nhideWhenUsed/>
    <w:qFormat/>
    <w:rsid w:val="00A67B18"/>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A67B18"/>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A67B18"/>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lang w:val="en-US"/>
      <w14:ligatures w14:val="standardContextual"/>
    </w:rPr>
  </w:style>
  <w:style w:type="paragraph" w:styleId="Heading5">
    <w:name w:val="heading 5"/>
    <w:basedOn w:val="Normal"/>
    <w:next w:val="Normal"/>
    <w:link w:val="Heading5Char"/>
    <w:unhideWhenUsed/>
    <w:qFormat/>
    <w:rsid w:val="00A67B18"/>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lang w:val="en-US"/>
      <w14:ligatures w14:val="standardContextual"/>
    </w:rPr>
  </w:style>
  <w:style w:type="paragraph" w:styleId="Heading6">
    <w:name w:val="heading 6"/>
    <w:basedOn w:val="Normal"/>
    <w:next w:val="Normal"/>
    <w:link w:val="Heading6Char"/>
    <w:uiPriority w:val="9"/>
    <w:semiHidden/>
    <w:unhideWhenUsed/>
    <w:qFormat/>
    <w:rsid w:val="00A67B18"/>
    <w:pPr>
      <w:keepNext/>
      <w:keepLines/>
      <w:spacing w:before="40" w:after="0" w:line="259" w:lineRule="auto"/>
      <w:jc w:val="left"/>
      <w:outlineLvl w:val="5"/>
    </w:pPr>
    <w:rPr>
      <w:rFonts w:asciiTheme="minorHAnsi" w:eastAsiaTheme="majorEastAsia" w:hAnsiTheme="minorHAnsi" w:cstheme="majorBidi"/>
      <w:i/>
      <w:iCs/>
      <w:color w:val="595959" w:themeColor="text1" w:themeTint="A6"/>
      <w:kern w:val="2"/>
      <w:sz w:val="22"/>
      <w:szCs w:val="22"/>
      <w:lang w:val="en-US"/>
      <w14:ligatures w14:val="standardContextual"/>
    </w:rPr>
  </w:style>
  <w:style w:type="paragraph" w:styleId="Heading7">
    <w:name w:val="heading 7"/>
    <w:basedOn w:val="Normal"/>
    <w:next w:val="Normal"/>
    <w:link w:val="Heading7Char"/>
    <w:unhideWhenUsed/>
    <w:qFormat/>
    <w:rsid w:val="00A67B18"/>
    <w:pPr>
      <w:keepNext/>
      <w:keepLines/>
      <w:spacing w:before="40" w:after="0" w:line="259" w:lineRule="auto"/>
      <w:jc w:val="left"/>
      <w:outlineLvl w:val="6"/>
    </w:pPr>
    <w:rPr>
      <w:rFonts w:asciiTheme="minorHAnsi" w:eastAsiaTheme="majorEastAsia" w:hAnsiTheme="minorHAnsi" w:cstheme="majorBidi"/>
      <w:color w:val="595959" w:themeColor="text1" w:themeTint="A6"/>
      <w:kern w:val="2"/>
      <w:sz w:val="22"/>
      <w:szCs w:val="22"/>
      <w:lang w:val="en-US"/>
      <w14:ligatures w14:val="standardContextual"/>
    </w:rPr>
  </w:style>
  <w:style w:type="paragraph" w:styleId="Heading8">
    <w:name w:val="heading 8"/>
    <w:basedOn w:val="Normal"/>
    <w:next w:val="Normal"/>
    <w:link w:val="Heading8Char"/>
    <w:uiPriority w:val="9"/>
    <w:semiHidden/>
    <w:unhideWhenUsed/>
    <w:qFormat/>
    <w:rsid w:val="00A67B18"/>
    <w:pPr>
      <w:keepNext/>
      <w:keepLines/>
      <w:spacing w:after="0" w:line="259" w:lineRule="auto"/>
      <w:jc w:val="left"/>
      <w:outlineLvl w:val="7"/>
    </w:pPr>
    <w:rPr>
      <w:rFonts w:asciiTheme="minorHAnsi" w:eastAsiaTheme="majorEastAsia" w:hAnsiTheme="minorHAnsi" w:cstheme="majorBidi"/>
      <w:i/>
      <w:iCs/>
      <w:color w:val="272727" w:themeColor="text1" w:themeTint="D8"/>
      <w:kern w:val="2"/>
      <w:sz w:val="22"/>
      <w:szCs w:val="22"/>
      <w:lang w:val="en-US"/>
      <w14:ligatures w14:val="standardContextual"/>
    </w:rPr>
  </w:style>
  <w:style w:type="paragraph" w:styleId="Heading9">
    <w:name w:val="heading 9"/>
    <w:basedOn w:val="Normal"/>
    <w:next w:val="Normal"/>
    <w:link w:val="Heading9Char"/>
    <w:uiPriority w:val="9"/>
    <w:semiHidden/>
    <w:unhideWhenUsed/>
    <w:qFormat/>
    <w:rsid w:val="00A67B18"/>
    <w:pPr>
      <w:keepNext/>
      <w:keepLines/>
      <w:spacing w:after="0" w:line="259" w:lineRule="auto"/>
      <w:jc w:val="left"/>
      <w:outlineLvl w:val="8"/>
    </w:pPr>
    <w:rPr>
      <w:rFonts w:asciiTheme="minorHAnsi" w:eastAsiaTheme="majorEastAsia" w:hAnsiTheme="minorHAnsi" w:cstheme="majorBidi"/>
      <w:color w:val="272727" w:themeColor="text1" w:themeTint="D8"/>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B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A67B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B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B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B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B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B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B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B18"/>
    <w:rPr>
      <w:rFonts w:eastAsiaTheme="majorEastAsia" w:cstheme="majorBidi"/>
      <w:color w:val="272727" w:themeColor="text1" w:themeTint="D8"/>
    </w:rPr>
  </w:style>
  <w:style w:type="paragraph" w:styleId="Title">
    <w:name w:val="Title"/>
    <w:basedOn w:val="Normal"/>
    <w:next w:val="Normal"/>
    <w:link w:val="TitleChar"/>
    <w:uiPriority w:val="10"/>
    <w:qFormat/>
    <w:rsid w:val="00A67B18"/>
    <w:pPr>
      <w:spacing w:after="80" w:line="240" w:lineRule="auto"/>
      <w:contextualSpacing/>
      <w:jc w:val="left"/>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A67B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B18"/>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A67B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B18"/>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14:ligatures w14:val="standardContextual"/>
    </w:rPr>
  </w:style>
  <w:style w:type="character" w:customStyle="1" w:styleId="QuoteChar">
    <w:name w:val="Quote Char"/>
    <w:basedOn w:val="DefaultParagraphFont"/>
    <w:link w:val="Quote"/>
    <w:uiPriority w:val="29"/>
    <w:rsid w:val="00A67B18"/>
    <w:rPr>
      <w:i/>
      <w:iCs/>
      <w:color w:val="404040" w:themeColor="text1" w:themeTint="BF"/>
    </w:rPr>
  </w:style>
  <w:style w:type="paragraph" w:styleId="ListParagraph">
    <w:name w:val="List Paragraph"/>
    <w:basedOn w:val="Normal"/>
    <w:uiPriority w:val="34"/>
    <w:qFormat/>
    <w:rsid w:val="00A67B18"/>
    <w:pPr>
      <w:spacing w:after="160" w:line="259" w:lineRule="auto"/>
      <w:ind w:left="720"/>
      <w:contextualSpacing/>
      <w:jc w:val="left"/>
    </w:pPr>
    <w:rPr>
      <w:rFonts w:asciiTheme="minorHAnsi" w:eastAsiaTheme="minorHAnsi" w:hAnsiTheme="minorHAnsi" w:cstheme="minorBidi"/>
      <w:kern w:val="2"/>
      <w:sz w:val="22"/>
      <w:szCs w:val="22"/>
      <w:lang w:val="en-US"/>
      <w14:ligatures w14:val="standardContextual"/>
    </w:rPr>
  </w:style>
  <w:style w:type="character" w:styleId="IntenseEmphasis">
    <w:name w:val="Intense Emphasis"/>
    <w:basedOn w:val="DefaultParagraphFont"/>
    <w:uiPriority w:val="21"/>
    <w:qFormat/>
    <w:rsid w:val="00A67B18"/>
    <w:rPr>
      <w:i/>
      <w:iCs/>
      <w:color w:val="0F4761" w:themeColor="accent1" w:themeShade="BF"/>
    </w:rPr>
  </w:style>
  <w:style w:type="paragraph" w:styleId="IntenseQuote">
    <w:name w:val="Intense Quote"/>
    <w:basedOn w:val="Normal"/>
    <w:next w:val="Normal"/>
    <w:link w:val="IntenseQuoteChar"/>
    <w:uiPriority w:val="30"/>
    <w:qFormat/>
    <w:rsid w:val="00A67B1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14:ligatures w14:val="standardContextual"/>
    </w:rPr>
  </w:style>
  <w:style w:type="character" w:customStyle="1" w:styleId="IntenseQuoteChar">
    <w:name w:val="Intense Quote Char"/>
    <w:basedOn w:val="DefaultParagraphFont"/>
    <w:link w:val="IntenseQuote"/>
    <w:uiPriority w:val="30"/>
    <w:rsid w:val="00A67B18"/>
    <w:rPr>
      <w:i/>
      <w:iCs/>
      <w:color w:val="0F4761" w:themeColor="accent1" w:themeShade="BF"/>
    </w:rPr>
  </w:style>
  <w:style w:type="character" w:styleId="IntenseReference">
    <w:name w:val="Intense Reference"/>
    <w:basedOn w:val="DefaultParagraphFont"/>
    <w:uiPriority w:val="32"/>
    <w:qFormat/>
    <w:rsid w:val="00A67B18"/>
    <w:rPr>
      <w:b/>
      <w:bCs/>
      <w:smallCaps/>
      <w:color w:val="0F4761" w:themeColor="accent1" w:themeShade="BF"/>
      <w:spacing w:val="5"/>
    </w:rPr>
  </w:style>
  <w:style w:type="paragraph" w:customStyle="1" w:styleId="ANNEX">
    <w:name w:val="ANNEX"/>
    <w:basedOn w:val="Normal"/>
    <w:next w:val="Normal"/>
    <w:rsid w:val="00A67B18"/>
    <w:pPr>
      <w:keepNext/>
      <w:pageBreakBefore/>
      <w:spacing w:after="760" w:line="-310" w:lineRule="auto"/>
      <w:jc w:val="center"/>
    </w:pPr>
    <w:rPr>
      <w:b/>
      <w:sz w:val="28"/>
    </w:rPr>
  </w:style>
  <w:style w:type="paragraph" w:customStyle="1" w:styleId="Bibliography1">
    <w:name w:val="Bibliography1"/>
    <w:basedOn w:val="Normal"/>
    <w:rsid w:val="00A67B18"/>
    <w:pPr>
      <w:tabs>
        <w:tab w:val="left" w:pos="660"/>
      </w:tabs>
      <w:ind w:left="658" w:hanging="658"/>
    </w:pPr>
  </w:style>
  <w:style w:type="paragraph" w:styleId="BodyText2">
    <w:name w:val="Body Text 2"/>
    <w:basedOn w:val="Normal"/>
    <w:link w:val="BodyText2Char"/>
    <w:rsid w:val="00A67B18"/>
    <w:pPr>
      <w:spacing w:before="60" w:after="60" w:line="190" w:lineRule="atLeast"/>
    </w:pPr>
    <w:rPr>
      <w:sz w:val="16"/>
    </w:rPr>
  </w:style>
  <w:style w:type="character" w:customStyle="1" w:styleId="BodyText2Char">
    <w:name w:val="Body Text 2 Char"/>
    <w:basedOn w:val="DefaultParagraphFont"/>
    <w:link w:val="BodyText2"/>
    <w:rsid w:val="00A67B18"/>
    <w:rPr>
      <w:rFonts w:ascii="Arial" w:eastAsia="Times New Roman" w:hAnsi="Arial" w:cs="Times New Roman"/>
      <w:kern w:val="0"/>
      <w:sz w:val="16"/>
      <w:szCs w:val="20"/>
      <w:lang w:val="en-GB"/>
      <w14:ligatures w14:val="none"/>
    </w:rPr>
  </w:style>
  <w:style w:type="paragraph" w:customStyle="1" w:styleId="Definition">
    <w:name w:val="Definition"/>
    <w:basedOn w:val="Normal"/>
    <w:next w:val="Normal"/>
    <w:rsid w:val="00A67B18"/>
  </w:style>
  <w:style w:type="paragraph" w:styleId="Header">
    <w:name w:val="header"/>
    <w:basedOn w:val="Normal"/>
    <w:link w:val="HeaderChar"/>
    <w:rsid w:val="00A67B18"/>
    <w:pPr>
      <w:spacing w:after="740" w:line="-220" w:lineRule="auto"/>
    </w:pPr>
    <w:rPr>
      <w:b/>
      <w:sz w:val="22"/>
    </w:rPr>
  </w:style>
  <w:style w:type="character" w:customStyle="1" w:styleId="HeaderChar">
    <w:name w:val="Header Char"/>
    <w:basedOn w:val="DefaultParagraphFont"/>
    <w:link w:val="Header"/>
    <w:rsid w:val="00A67B18"/>
    <w:rPr>
      <w:rFonts w:ascii="Arial" w:eastAsia="Times New Roman" w:hAnsi="Arial" w:cs="Times New Roman"/>
      <w:b/>
      <w:kern w:val="0"/>
      <w:szCs w:val="20"/>
      <w:lang w:val="en-GB"/>
      <w14:ligatures w14:val="none"/>
    </w:rPr>
  </w:style>
  <w:style w:type="paragraph" w:styleId="ListNumber">
    <w:name w:val="List Number"/>
    <w:basedOn w:val="Normal"/>
    <w:rsid w:val="00A67B18"/>
    <w:pPr>
      <w:tabs>
        <w:tab w:val="left" w:pos="400"/>
      </w:tabs>
      <w:ind w:left="400" w:hanging="400"/>
    </w:pPr>
  </w:style>
  <w:style w:type="character" w:styleId="PageNumber">
    <w:name w:val="page number"/>
    <w:basedOn w:val="DefaultParagraphFont"/>
    <w:rsid w:val="00A67B18"/>
  </w:style>
  <w:style w:type="paragraph" w:customStyle="1" w:styleId="p2">
    <w:name w:val="p2"/>
    <w:basedOn w:val="Normal"/>
    <w:next w:val="Normal"/>
    <w:rsid w:val="00A67B18"/>
    <w:pPr>
      <w:tabs>
        <w:tab w:val="left" w:pos="560"/>
      </w:tabs>
    </w:pPr>
  </w:style>
  <w:style w:type="paragraph" w:styleId="Footer">
    <w:name w:val="footer"/>
    <w:basedOn w:val="Normal"/>
    <w:link w:val="FooterChar"/>
    <w:rsid w:val="00A67B18"/>
    <w:pPr>
      <w:spacing w:after="0" w:line="-220" w:lineRule="auto"/>
    </w:pPr>
    <w:rPr>
      <w:lang w:eastAsia="x-none"/>
    </w:rPr>
  </w:style>
  <w:style w:type="character" w:customStyle="1" w:styleId="FooterChar">
    <w:name w:val="Footer Char"/>
    <w:basedOn w:val="DefaultParagraphFont"/>
    <w:link w:val="Footer"/>
    <w:rsid w:val="00A67B18"/>
    <w:rPr>
      <w:rFonts w:ascii="Arial" w:eastAsia="Times New Roman" w:hAnsi="Arial" w:cs="Times New Roman"/>
      <w:kern w:val="0"/>
      <w:sz w:val="20"/>
      <w:szCs w:val="20"/>
      <w:lang w:val="en-GB" w:eastAsia="x-none"/>
      <w14:ligatures w14:val="none"/>
    </w:rPr>
  </w:style>
  <w:style w:type="paragraph" w:customStyle="1" w:styleId="RefNorm">
    <w:name w:val="RefNorm"/>
    <w:basedOn w:val="Normal"/>
    <w:next w:val="Normal"/>
    <w:rsid w:val="00A67B18"/>
  </w:style>
  <w:style w:type="paragraph" w:customStyle="1" w:styleId="TermNum">
    <w:name w:val="TermNum"/>
    <w:basedOn w:val="Normal"/>
    <w:next w:val="Normal"/>
    <w:rsid w:val="00A67B18"/>
    <w:pPr>
      <w:keepNext/>
      <w:spacing w:after="0"/>
    </w:pPr>
    <w:rPr>
      <w:b/>
    </w:rPr>
  </w:style>
  <w:style w:type="paragraph" w:customStyle="1" w:styleId="zzBiblio">
    <w:name w:val="zzBiblio"/>
    <w:basedOn w:val="Normal"/>
    <w:next w:val="Bibliography1"/>
    <w:rsid w:val="00A67B18"/>
    <w:pPr>
      <w:pageBreakBefore/>
      <w:spacing w:after="760" w:line="-310" w:lineRule="auto"/>
      <w:jc w:val="center"/>
    </w:pPr>
    <w:rPr>
      <w:b/>
      <w:sz w:val="28"/>
    </w:rPr>
  </w:style>
  <w:style w:type="paragraph" w:customStyle="1" w:styleId="zzCopyright">
    <w:name w:val="zzCopyright"/>
    <w:basedOn w:val="Normal"/>
    <w:next w:val="Normal"/>
    <w:rsid w:val="00A67B1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A67B18"/>
    <w:pPr>
      <w:spacing w:after="220"/>
      <w:jc w:val="right"/>
    </w:pPr>
    <w:rPr>
      <w:b/>
      <w:color w:val="000000"/>
      <w:sz w:val="24"/>
    </w:rPr>
  </w:style>
  <w:style w:type="paragraph" w:customStyle="1" w:styleId="zzForeword">
    <w:name w:val="zzForeword"/>
    <w:basedOn w:val="Normal"/>
    <w:next w:val="Normal"/>
    <w:rsid w:val="00A67B18"/>
    <w:pPr>
      <w:keepNext/>
      <w:pageBreakBefore/>
      <w:suppressAutoHyphens/>
      <w:spacing w:before="960" w:after="310" w:line="310" w:lineRule="exact"/>
      <w:jc w:val="left"/>
    </w:pPr>
    <w:rPr>
      <w:b/>
      <w:color w:val="0000FF"/>
      <w:sz w:val="28"/>
    </w:rPr>
  </w:style>
  <w:style w:type="paragraph" w:customStyle="1" w:styleId="zzHelp">
    <w:name w:val="zzHelp"/>
    <w:basedOn w:val="Normal"/>
    <w:rsid w:val="00A67B18"/>
    <w:rPr>
      <w:color w:val="008000"/>
    </w:rPr>
  </w:style>
  <w:style w:type="paragraph" w:customStyle="1" w:styleId="zzSTDTitle">
    <w:name w:val="zzSTDTitle"/>
    <w:basedOn w:val="Normal"/>
    <w:next w:val="Normal"/>
    <w:rsid w:val="00A67B18"/>
    <w:pPr>
      <w:suppressAutoHyphens/>
      <w:spacing w:before="400" w:after="760" w:line="-350" w:lineRule="auto"/>
      <w:jc w:val="left"/>
    </w:pPr>
    <w:rPr>
      <w:b/>
      <w:color w:val="0000FF"/>
      <w:sz w:val="32"/>
    </w:rPr>
  </w:style>
  <w:style w:type="character" w:styleId="Hyperlink">
    <w:name w:val="Hyperlink"/>
    <w:rsid w:val="00A67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eac@eachq.org" TargetMode="Externa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http://www.electropedia.org/"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ac-quality.net" TargetMode="External"/><Relationship Id="rId22" Type="http://schemas.openxmlformats.org/officeDocument/2006/relationships/hyperlink" Target="http://www.iso.org/obp"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CABDA-253E-44DD-97F9-2A1FE07F7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1397</Words>
  <Characters>7963</Characters>
  <Application>Microsoft Office Word</Application>
  <DocSecurity>0</DocSecurity>
  <Lines>66</Lines>
  <Paragraphs>18</Paragraphs>
  <ScaleCrop>false</ScaleCrop>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Okeyo</dc:creator>
  <cp:keywords/>
  <dc:description/>
  <cp:lastModifiedBy>Dennis Okeyo</cp:lastModifiedBy>
  <cp:revision>12</cp:revision>
  <dcterms:created xsi:type="dcterms:W3CDTF">2024-10-02T10:56:00Z</dcterms:created>
  <dcterms:modified xsi:type="dcterms:W3CDTF">2025-01-22T15:28:00Z</dcterms:modified>
</cp:coreProperties>
</file>